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AAF9" w14:textId="77777777" w:rsidR="00B36384" w:rsidRDefault="00B36384" w:rsidP="00B36384"/>
    <w:p w14:paraId="349D270F" w14:textId="6BB910C3" w:rsidR="00174415" w:rsidRPr="00820F9B" w:rsidRDefault="00FC7869" w:rsidP="08555356">
      <w:pPr>
        <w:rPr>
          <w:b/>
          <w:bCs/>
          <w:sz w:val="28"/>
          <w:szCs w:val="28"/>
        </w:rPr>
      </w:pPr>
      <w:r>
        <w:rPr>
          <w:b/>
          <w:bCs/>
          <w:sz w:val="28"/>
          <w:szCs w:val="28"/>
        </w:rPr>
        <w:t xml:space="preserve">Addendum Onderwijs - </w:t>
      </w:r>
      <w:r w:rsidR="00EA3411">
        <w:rPr>
          <w:b/>
          <w:bCs/>
          <w:sz w:val="28"/>
          <w:szCs w:val="28"/>
        </w:rPr>
        <w:t>Regelgevende Technische Standaard (RTS)</w:t>
      </w:r>
      <w:r>
        <w:rPr>
          <w:b/>
          <w:bCs/>
          <w:sz w:val="28"/>
          <w:szCs w:val="28"/>
        </w:rPr>
        <w:t xml:space="preserve"> 2025</w:t>
      </w:r>
    </w:p>
    <w:p w14:paraId="7A17D7AB" w14:textId="77777777" w:rsidR="00820F9B" w:rsidRDefault="00820F9B" w:rsidP="00B36384">
      <w:pPr>
        <w:rPr>
          <w:b/>
          <w:bCs/>
        </w:rPr>
      </w:pPr>
    </w:p>
    <w:p w14:paraId="7B06C178" w14:textId="462E4B6A" w:rsidR="00820F9B" w:rsidRPr="00C8107C" w:rsidRDefault="00344738" w:rsidP="08555356">
      <w:pPr>
        <w:rPr>
          <w:b/>
          <w:bCs/>
          <w:sz w:val="20"/>
          <w:szCs w:val="20"/>
        </w:rPr>
      </w:pPr>
      <w:r>
        <w:rPr>
          <w:b/>
          <w:bCs/>
          <w:sz w:val="20"/>
          <w:szCs w:val="20"/>
        </w:rPr>
        <w:t>Achtergrond</w:t>
      </w:r>
    </w:p>
    <w:p w14:paraId="0F2E9EDA" w14:textId="77777777" w:rsidR="003400E1" w:rsidRDefault="003400E1" w:rsidP="00B36384">
      <w:pPr>
        <w:rPr>
          <w:sz w:val="20"/>
          <w:szCs w:val="20"/>
        </w:rPr>
      </w:pPr>
    </w:p>
    <w:p w14:paraId="74054AF5" w14:textId="36E66114" w:rsidR="0043190F" w:rsidRPr="0043190F" w:rsidRDefault="0043190F" w:rsidP="0043190F">
      <w:pPr>
        <w:rPr>
          <w:sz w:val="20"/>
          <w:szCs w:val="20"/>
        </w:rPr>
      </w:pPr>
      <w:r w:rsidRPr="0043190F">
        <w:rPr>
          <w:sz w:val="20"/>
          <w:szCs w:val="20"/>
        </w:rPr>
        <w:t>Op dit moment leveren onderwijsinstellingen hun jaar</w:t>
      </w:r>
      <w:r w:rsidR="00EA3411">
        <w:rPr>
          <w:sz w:val="20"/>
          <w:szCs w:val="20"/>
        </w:rPr>
        <w:t>rekening</w:t>
      </w:r>
      <w:r w:rsidRPr="0043190F">
        <w:rPr>
          <w:sz w:val="20"/>
          <w:szCs w:val="20"/>
        </w:rPr>
        <w:t xml:space="preserve"> bij DUO aan via twee stromen.</w:t>
      </w:r>
    </w:p>
    <w:p w14:paraId="1B221356" w14:textId="03100EA0" w:rsidR="0043190F" w:rsidRPr="0043190F" w:rsidRDefault="0043190F" w:rsidP="0043190F">
      <w:pPr>
        <w:rPr>
          <w:sz w:val="20"/>
          <w:szCs w:val="20"/>
        </w:rPr>
      </w:pPr>
      <w:r>
        <w:rPr>
          <w:sz w:val="20"/>
          <w:szCs w:val="20"/>
        </w:rPr>
        <w:t>E</w:t>
      </w:r>
      <w:r w:rsidRPr="0043190F">
        <w:rPr>
          <w:sz w:val="20"/>
          <w:szCs w:val="20"/>
        </w:rPr>
        <w:t xml:space="preserve">en jaarverslag in pdf via een ‘papieren’ stroom </w:t>
      </w:r>
      <w:r>
        <w:rPr>
          <w:sz w:val="20"/>
          <w:szCs w:val="20"/>
        </w:rPr>
        <w:t>en een digitale stroom in</w:t>
      </w:r>
      <w:r w:rsidRPr="0043190F">
        <w:rPr>
          <w:sz w:val="20"/>
          <w:szCs w:val="20"/>
        </w:rPr>
        <w:t xml:space="preserve"> XBRL door het XBRL Onderwijsportaal in te vullen.</w:t>
      </w:r>
      <w:r>
        <w:rPr>
          <w:sz w:val="20"/>
          <w:szCs w:val="20"/>
        </w:rPr>
        <w:t xml:space="preserve"> </w:t>
      </w:r>
      <w:r w:rsidRPr="0043190F">
        <w:rPr>
          <w:sz w:val="20"/>
          <w:szCs w:val="20"/>
        </w:rPr>
        <w:t>In de toekomst zal de jaarverantwoording plaatsvinden via één stroom: een Report Package</w:t>
      </w:r>
      <w:r>
        <w:rPr>
          <w:sz w:val="20"/>
          <w:szCs w:val="20"/>
        </w:rPr>
        <w:t xml:space="preserve"> met daarin een jaarverslag in Inline XBRL</w:t>
      </w:r>
      <w:r w:rsidRPr="0043190F">
        <w:rPr>
          <w:sz w:val="20"/>
          <w:szCs w:val="20"/>
        </w:rPr>
        <w:t>.</w:t>
      </w:r>
      <w:r>
        <w:rPr>
          <w:sz w:val="20"/>
          <w:szCs w:val="20"/>
        </w:rPr>
        <w:t xml:space="preserve"> </w:t>
      </w:r>
      <w:r w:rsidRPr="0043190F">
        <w:rPr>
          <w:sz w:val="20"/>
          <w:szCs w:val="20"/>
        </w:rPr>
        <w:t xml:space="preserve">Het jaarverslag in Inline XBRL is leesbaar voor mensen en bevat XBRL-gegevens die computers </w:t>
      </w:r>
      <w:r>
        <w:rPr>
          <w:sz w:val="20"/>
          <w:szCs w:val="20"/>
        </w:rPr>
        <w:t>ge</w:t>
      </w:r>
      <w:r w:rsidRPr="0043190F">
        <w:rPr>
          <w:sz w:val="20"/>
          <w:szCs w:val="20"/>
        </w:rPr>
        <w:t>automati</w:t>
      </w:r>
      <w:r>
        <w:rPr>
          <w:sz w:val="20"/>
          <w:szCs w:val="20"/>
        </w:rPr>
        <w:t>seerd</w:t>
      </w:r>
      <w:r w:rsidRPr="0043190F">
        <w:rPr>
          <w:sz w:val="20"/>
          <w:szCs w:val="20"/>
        </w:rPr>
        <w:t xml:space="preserve"> kunnen verwerken.</w:t>
      </w:r>
    </w:p>
    <w:p w14:paraId="52C16FE2" w14:textId="77777777" w:rsidR="0043190F" w:rsidRDefault="0043190F" w:rsidP="00B36384">
      <w:pPr>
        <w:rPr>
          <w:sz w:val="20"/>
          <w:szCs w:val="20"/>
        </w:rPr>
      </w:pPr>
    </w:p>
    <w:p w14:paraId="5B333303" w14:textId="2A87A3B9" w:rsidR="00EA3411" w:rsidRDefault="00EA3411" w:rsidP="00B36384">
      <w:pPr>
        <w:rPr>
          <w:sz w:val="20"/>
          <w:szCs w:val="20"/>
        </w:rPr>
      </w:pPr>
      <w:r>
        <w:rPr>
          <w:sz w:val="20"/>
          <w:szCs w:val="20"/>
        </w:rPr>
        <w:t>In eerdere bijeenkomsten van de werkgroep iXBRL van het programma Samen Verantwoorden is door de verschillende deelnemers het advies gegeven om wat betreft Inline XBRL voor Onderwijs niet het wiel zelf opnieuw uit te gaan vinden</w:t>
      </w:r>
      <w:r w:rsidR="00B948B3">
        <w:rPr>
          <w:sz w:val="20"/>
          <w:szCs w:val="20"/>
        </w:rPr>
        <w:t>. Sluit zoveel als mogelijk aan bij de afspraken en standaards die daarvoor door de Taskforce Jaarverslaggeving worden gepubliceerd ten behoeve van verplichtstelling Groot voor het deponeren bij het Handelsregister.</w:t>
      </w:r>
      <w:r w:rsidR="00260C0A">
        <w:rPr>
          <w:sz w:val="20"/>
          <w:szCs w:val="20"/>
        </w:rPr>
        <w:t xml:space="preserve"> Geef doormiddel van een addendum aan op welke punten een afwijking of aanvulling op de afspraken en standaards </w:t>
      </w:r>
      <w:r w:rsidR="007B1D1F">
        <w:rPr>
          <w:sz w:val="20"/>
          <w:szCs w:val="20"/>
        </w:rPr>
        <w:t xml:space="preserve">van Verplichtstelling Groot </w:t>
      </w:r>
      <w:r w:rsidR="00260C0A">
        <w:rPr>
          <w:sz w:val="20"/>
          <w:szCs w:val="20"/>
        </w:rPr>
        <w:t>voor Onderwijs noodzakelijk is.</w:t>
      </w:r>
    </w:p>
    <w:p w14:paraId="5CD986A0" w14:textId="77777777" w:rsidR="00EA3411" w:rsidRDefault="00EA3411" w:rsidP="00B36384">
      <w:pPr>
        <w:rPr>
          <w:sz w:val="20"/>
          <w:szCs w:val="20"/>
        </w:rPr>
      </w:pPr>
    </w:p>
    <w:p w14:paraId="0AC73345" w14:textId="44BAB5BE" w:rsidR="00BC021A" w:rsidRDefault="00B948B3" w:rsidP="00B36384">
      <w:pPr>
        <w:rPr>
          <w:sz w:val="20"/>
          <w:szCs w:val="20"/>
        </w:rPr>
      </w:pPr>
      <w:r>
        <w:rPr>
          <w:sz w:val="20"/>
          <w:szCs w:val="20"/>
        </w:rPr>
        <w:t>D</w:t>
      </w:r>
      <w:r w:rsidR="00BC021A">
        <w:rPr>
          <w:sz w:val="20"/>
          <w:szCs w:val="20"/>
        </w:rPr>
        <w:t>oor de Taskforce Jaarverslaggeving</w:t>
      </w:r>
      <w:r>
        <w:rPr>
          <w:sz w:val="20"/>
          <w:szCs w:val="20"/>
        </w:rPr>
        <w:t xml:space="preserve"> zijn </w:t>
      </w:r>
      <w:r w:rsidR="00260C0A">
        <w:rPr>
          <w:sz w:val="20"/>
          <w:szCs w:val="20"/>
        </w:rPr>
        <w:t>o</w:t>
      </w:r>
      <w:r>
        <w:rPr>
          <w:sz w:val="20"/>
          <w:szCs w:val="20"/>
        </w:rPr>
        <w:t xml:space="preserve">p dit moment de </w:t>
      </w:r>
      <w:r w:rsidR="00BC021A">
        <w:rPr>
          <w:sz w:val="20"/>
          <w:szCs w:val="20"/>
        </w:rPr>
        <w:t>volgende documenten</w:t>
      </w:r>
      <w:r>
        <w:rPr>
          <w:sz w:val="20"/>
          <w:szCs w:val="20"/>
        </w:rPr>
        <w:t xml:space="preserve"> gepubliceerd</w:t>
      </w:r>
      <w:r w:rsidR="00260C0A">
        <w:rPr>
          <w:sz w:val="20"/>
          <w:szCs w:val="20"/>
        </w:rPr>
        <w:t xml:space="preserve"> die als basis gebruikt kunnen worden voor Onderwijs</w:t>
      </w:r>
      <w:r w:rsidR="00BC021A">
        <w:rPr>
          <w:sz w:val="20"/>
          <w:szCs w:val="20"/>
        </w:rPr>
        <w:t>:</w:t>
      </w:r>
    </w:p>
    <w:p w14:paraId="35C7CC1E" w14:textId="5E3AD258" w:rsidR="003400E1" w:rsidRDefault="00BC021A" w:rsidP="00FE51F5">
      <w:pPr>
        <w:pStyle w:val="Lijstalinea"/>
        <w:numPr>
          <w:ilvl w:val="0"/>
          <w:numId w:val="3"/>
        </w:numPr>
        <w:rPr>
          <w:sz w:val="20"/>
          <w:szCs w:val="20"/>
        </w:rPr>
      </w:pPr>
      <w:r w:rsidRPr="00BC021A">
        <w:rPr>
          <w:sz w:val="20"/>
          <w:szCs w:val="20"/>
        </w:rPr>
        <w:t>20250716_RTS_2025_NL_SBR-domein_Handelsregister</w:t>
      </w:r>
      <w:r>
        <w:rPr>
          <w:sz w:val="20"/>
          <w:szCs w:val="20"/>
        </w:rPr>
        <w:t>.pdf;</w:t>
      </w:r>
    </w:p>
    <w:p w14:paraId="42294FEC" w14:textId="0BEF14DA" w:rsidR="00BC021A" w:rsidRDefault="00BC021A" w:rsidP="00FE51F5">
      <w:pPr>
        <w:pStyle w:val="Lijstalinea"/>
        <w:numPr>
          <w:ilvl w:val="0"/>
          <w:numId w:val="3"/>
        </w:numPr>
        <w:rPr>
          <w:sz w:val="20"/>
          <w:szCs w:val="20"/>
        </w:rPr>
      </w:pPr>
      <w:r w:rsidRPr="00BC021A">
        <w:rPr>
          <w:sz w:val="20"/>
          <w:szCs w:val="20"/>
        </w:rPr>
        <w:t>20250716_Reporting_Manual_2025_EN_SBR-domein_Handelsregister</w:t>
      </w:r>
      <w:r>
        <w:rPr>
          <w:sz w:val="20"/>
          <w:szCs w:val="20"/>
        </w:rPr>
        <w:t>.pdf.</w:t>
      </w:r>
    </w:p>
    <w:p w14:paraId="598DCE64" w14:textId="43ED0D66" w:rsidR="00B948B3" w:rsidRPr="00B948B3" w:rsidRDefault="00B948B3" w:rsidP="00B948B3">
      <w:pPr>
        <w:rPr>
          <w:sz w:val="20"/>
          <w:szCs w:val="20"/>
        </w:rPr>
      </w:pPr>
      <w:r>
        <w:rPr>
          <w:sz w:val="20"/>
          <w:szCs w:val="20"/>
        </w:rPr>
        <w:t>Deze documenten zijn echter nog ter consultatie. De consultatiedatum was 15-09-2025 en de bedoeling is dat definitieve documenten in oktober 2025 worden gepubliceerd. Indien noodzakelijk zal deze notitie worden aangepast om overeen te komen met de definitieve documenten.</w:t>
      </w:r>
    </w:p>
    <w:p w14:paraId="3D43624E" w14:textId="77777777" w:rsidR="003400E1" w:rsidRDefault="003400E1" w:rsidP="00B36384">
      <w:pPr>
        <w:rPr>
          <w:sz w:val="20"/>
          <w:szCs w:val="20"/>
        </w:rPr>
      </w:pPr>
    </w:p>
    <w:p w14:paraId="0789FAC7" w14:textId="425CB463" w:rsidR="00C8107C" w:rsidRDefault="00BC021A" w:rsidP="00B36384">
      <w:pPr>
        <w:rPr>
          <w:sz w:val="20"/>
          <w:szCs w:val="20"/>
        </w:rPr>
      </w:pPr>
      <w:r>
        <w:rPr>
          <w:sz w:val="20"/>
          <w:szCs w:val="20"/>
        </w:rPr>
        <w:t>Echter het deponeren door rechtspersonen bij de Kamer van Koophandel is anders dan het doen van verantwoording door onderwijsinstellingen bij OCW/DUO.</w:t>
      </w:r>
    </w:p>
    <w:p w14:paraId="3C8469B0" w14:textId="77777777" w:rsidR="00BC021A" w:rsidRDefault="00BC021A" w:rsidP="00B36384">
      <w:pPr>
        <w:rPr>
          <w:sz w:val="20"/>
          <w:szCs w:val="20"/>
        </w:rPr>
      </w:pPr>
    </w:p>
    <w:p w14:paraId="0B65A307" w14:textId="22BF5C01" w:rsidR="00260C0A" w:rsidRDefault="00BC021A" w:rsidP="00B36384">
      <w:pPr>
        <w:rPr>
          <w:sz w:val="20"/>
          <w:szCs w:val="20"/>
        </w:rPr>
      </w:pPr>
      <w:r>
        <w:rPr>
          <w:sz w:val="20"/>
          <w:szCs w:val="20"/>
        </w:rPr>
        <w:t xml:space="preserve">In deze notitie </w:t>
      </w:r>
      <w:r w:rsidR="00260C0A">
        <w:rPr>
          <w:sz w:val="20"/>
          <w:szCs w:val="20"/>
        </w:rPr>
        <w:t xml:space="preserve">is een aanzet gedaan om te </w:t>
      </w:r>
      <w:r>
        <w:rPr>
          <w:sz w:val="20"/>
          <w:szCs w:val="20"/>
        </w:rPr>
        <w:t>beschr</w:t>
      </w:r>
      <w:r w:rsidR="00260C0A">
        <w:rPr>
          <w:sz w:val="20"/>
          <w:szCs w:val="20"/>
        </w:rPr>
        <w:t>ij</w:t>
      </w:r>
      <w:r>
        <w:rPr>
          <w:sz w:val="20"/>
          <w:szCs w:val="20"/>
        </w:rPr>
        <w:t>ven</w:t>
      </w:r>
      <w:r w:rsidR="00260C0A">
        <w:rPr>
          <w:sz w:val="20"/>
          <w:szCs w:val="20"/>
        </w:rPr>
        <w:t xml:space="preserve"> op welke punten voor Onderwijs een afwijking of aanvulling nodig is op de Regelgevende Technische Standaard (RTS).</w:t>
      </w:r>
      <w:r w:rsidR="00FA3203">
        <w:rPr>
          <w:sz w:val="20"/>
          <w:szCs w:val="20"/>
        </w:rPr>
        <w:t xml:space="preserve"> Wellicht is dit door middel van een addendum niet </w:t>
      </w:r>
      <w:r w:rsidR="00700CF8">
        <w:rPr>
          <w:sz w:val="20"/>
          <w:szCs w:val="20"/>
        </w:rPr>
        <w:t xml:space="preserve">goed </w:t>
      </w:r>
      <w:r w:rsidR="00FA3203">
        <w:rPr>
          <w:sz w:val="20"/>
          <w:szCs w:val="20"/>
        </w:rPr>
        <w:t>mogelijk en moet er voor Onderwijs een specifieke RTS geschreven worden.</w:t>
      </w:r>
    </w:p>
    <w:p w14:paraId="0BF0E6FE" w14:textId="4F4873B9" w:rsidR="00FC7869" w:rsidRDefault="00FC7869" w:rsidP="00B36384">
      <w:pPr>
        <w:rPr>
          <w:sz w:val="20"/>
          <w:szCs w:val="20"/>
        </w:rPr>
      </w:pPr>
      <w:r>
        <w:rPr>
          <w:sz w:val="20"/>
          <w:szCs w:val="20"/>
        </w:rPr>
        <w:t>Voor het Reporting Manual zal een apart addendum worden opgesteld.</w:t>
      </w:r>
    </w:p>
    <w:p w14:paraId="54BC69D4" w14:textId="77777777" w:rsidR="00BB0D73" w:rsidRDefault="00BB0D73" w:rsidP="00B36384">
      <w:pPr>
        <w:rPr>
          <w:sz w:val="20"/>
          <w:szCs w:val="20"/>
        </w:rPr>
      </w:pPr>
    </w:p>
    <w:p w14:paraId="4F38AEDA" w14:textId="77777777" w:rsidR="00F063DD" w:rsidRPr="00F063DD" w:rsidRDefault="00F063DD" w:rsidP="00F063DD">
      <w:pPr>
        <w:rPr>
          <w:highlight w:val="yellow"/>
        </w:rPr>
      </w:pPr>
      <w:r w:rsidRPr="00F063DD">
        <w:rPr>
          <w:highlight w:val="yellow"/>
        </w:rPr>
        <w:t xml:space="preserve">N.B. </w:t>
      </w:r>
    </w:p>
    <w:p w14:paraId="4C98B50A" w14:textId="77777777" w:rsidR="00F063DD" w:rsidRPr="00F063DD" w:rsidRDefault="00F063DD" w:rsidP="00F063DD">
      <w:pPr>
        <w:pStyle w:val="Lijstalinea"/>
        <w:numPr>
          <w:ilvl w:val="0"/>
          <w:numId w:val="11"/>
        </w:numPr>
        <w:rPr>
          <w:highlight w:val="yellow"/>
        </w:rPr>
      </w:pPr>
      <w:r w:rsidRPr="00F063DD">
        <w:rPr>
          <w:highlight w:val="yellow"/>
        </w:rPr>
        <w:t>Met de partijen in de verantwoordingsketen van Onderwijs zal nog worden afgestemd of een extensietaxonomie gewenst en noodzakelijk is.</w:t>
      </w:r>
    </w:p>
    <w:p w14:paraId="1966244A" w14:textId="77777777" w:rsidR="00F063DD" w:rsidRPr="00F063DD" w:rsidRDefault="00F063DD" w:rsidP="00F063DD">
      <w:pPr>
        <w:pStyle w:val="Lijstalinea"/>
        <w:numPr>
          <w:ilvl w:val="0"/>
          <w:numId w:val="11"/>
        </w:numPr>
        <w:rPr>
          <w:rStyle w:val="Intensieveverwijzing"/>
          <w:b w:val="0"/>
          <w:bCs w:val="0"/>
          <w:smallCaps w:val="0"/>
          <w:color w:val="auto"/>
          <w:spacing w:val="0"/>
          <w:highlight w:val="yellow"/>
        </w:rPr>
      </w:pPr>
      <w:r w:rsidRPr="00F063DD">
        <w:rPr>
          <w:rStyle w:val="Intensieveverwijzing"/>
          <w:b w:val="0"/>
          <w:bCs w:val="0"/>
          <w:smallCaps w:val="0"/>
          <w:color w:val="auto"/>
          <w:spacing w:val="0"/>
          <w:highlight w:val="yellow"/>
        </w:rPr>
        <w:t>In eerste instantie was het idee dat onderwijsinstellingen geïdentificeerd konden worden op basis van een geldig KvK-nummer. Er zijn echter situaties waarbij dit niet opgaat. Op dit moment wordt onderzocht wat dan een uniek nummer is om een onderwijsinstelling te kunnen identificeren. Toch KvK-nummer of het Bevoegdgezagnummer (BG-nummer) of een combinatie hiervan eventueel met nog een ander nummer zoals bijvoorbeeld instellingscode.</w:t>
      </w:r>
    </w:p>
    <w:p w14:paraId="0F189BA1" w14:textId="77777777" w:rsidR="00D0065D" w:rsidRPr="00D0065D" w:rsidRDefault="00F063DD" w:rsidP="00F063DD">
      <w:pPr>
        <w:pStyle w:val="Lijstalinea"/>
        <w:numPr>
          <w:ilvl w:val="0"/>
          <w:numId w:val="11"/>
        </w:numPr>
        <w:rPr>
          <w:b/>
          <w:bCs/>
          <w:sz w:val="20"/>
          <w:szCs w:val="20"/>
          <w:highlight w:val="yellow"/>
        </w:rPr>
      </w:pPr>
      <w:r w:rsidRPr="00F063DD">
        <w:rPr>
          <w:rStyle w:val="Intensieveverwijzing"/>
          <w:b w:val="0"/>
          <w:bCs w:val="0"/>
          <w:smallCaps w:val="0"/>
          <w:color w:val="auto"/>
          <w:spacing w:val="0"/>
          <w:highlight w:val="yellow"/>
        </w:rPr>
        <w:t xml:space="preserve">Bijlage II: </w:t>
      </w:r>
      <w:r w:rsidRPr="00F063DD">
        <w:rPr>
          <w:szCs w:val="18"/>
          <w:highlight w:val="yellow"/>
        </w:rPr>
        <w:t>Alle wensen van OCW, de Onderwijsinspectie, het CBS en eventueel andere partijen over wat gemarkeerd moet</w:t>
      </w:r>
      <w:r w:rsidRPr="00D0065D">
        <w:rPr>
          <w:szCs w:val="18"/>
          <w:highlight w:val="yellow"/>
        </w:rPr>
        <w:t xml:space="preserve"> worden, moeten nog worden toegevoegd.</w:t>
      </w:r>
    </w:p>
    <w:p w14:paraId="180436A6" w14:textId="536AD33C" w:rsidR="00D0065D" w:rsidRPr="00D0065D" w:rsidRDefault="00D0065D" w:rsidP="00F063DD">
      <w:pPr>
        <w:pStyle w:val="Lijstalinea"/>
        <w:numPr>
          <w:ilvl w:val="0"/>
          <w:numId w:val="11"/>
        </w:numPr>
        <w:rPr>
          <w:b/>
          <w:bCs/>
          <w:sz w:val="20"/>
          <w:szCs w:val="20"/>
          <w:highlight w:val="yellow"/>
        </w:rPr>
      </w:pPr>
      <w:r w:rsidRPr="00D0065D">
        <w:rPr>
          <w:szCs w:val="18"/>
          <w:highlight w:val="yellow"/>
        </w:rPr>
        <w:t>Overall waar in de RTS van het SBR-domein Handelsregister over rechtspersoon of rechtspersonen gesproken wordt moet daar voor Onderwijs bevoegd gezag respectievelijke bevoegde gezagen gelezen worden.</w:t>
      </w:r>
    </w:p>
    <w:p w14:paraId="46E5F5CC" w14:textId="79E2DBD6" w:rsidR="00FA3203" w:rsidRPr="00F063DD" w:rsidRDefault="00FA3203" w:rsidP="00F063DD">
      <w:pPr>
        <w:pStyle w:val="Lijstalinea"/>
        <w:numPr>
          <w:ilvl w:val="0"/>
          <w:numId w:val="11"/>
        </w:numPr>
        <w:rPr>
          <w:b/>
          <w:bCs/>
          <w:sz w:val="20"/>
          <w:szCs w:val="20"/>
        </w:rPr>
      </w:pPr>
      <w:r w:rsidRPr="00F063DD">
        <w:rPr>
          <w:b/>
          <w:bCs/>
          <w:sz w:val="20"/>
          <w:szCs w:val="20"/>
        </w:rPr>
        <w:br w:type="page"/>
      </w:r>
    </w:p>
    <w:p w14:paraId="09252EAC" w14:textId="13335D0A" w:rsidR="00820F9B" w:rsidRPr="00C8107C" w:rsidRDefault="00FC7869" w:rsidP="08555356">
      <w:pPr>
        <w:rPr>
          <w:b/>
          <w:bCs/>
          <w:sz w:val="20"/>
          <w:szCs w:val="20"/>
        </w:rPr>
      </w:pPr>
      <w:r>
        <w:rPr>
          <w:b/>
          <w:bCs/>
          <w:sz w:val="20"/>
          <w:szCs w:val="20"/>
        </w:rPr>
        <w:lastRenderedPageBreak/>
        <w:t xml:space="preserve">Afwijkingen en aanvullingen </w:t>
      </w:r>
      <w:r w:rsidR="00260C0A">
        <w:rPr>
          <w:b/>
          <w:bCs/>
          <w:sz w:val="20"/>
          <w:szCs w:val="20"/>
        </w:rPr>
        <w:t xml:space="preserve">Regelgevende Technische Standaard </w:t>
      </w:r>
      <w:r>
        <w:rPr>
          <w:b/>
          <w:bCs/>
          <w:sz w:val="20"/>
          <w:szCs w:val="20"/>
        </w:rPr>
        <w:t>t.b.v. Onderwijs</w:t>
      </w:r>
    </w:p>
    <w:p w14:paraId="0678E237" w14:textId="77777777" w:rsidR="00344738" w:rsidRDefault="00344738" w:rsidP="00344738">
      <w:pPr>
        <w:rPr>
          <w:sz w:val="20"/>
          <w:szCs w:val="20"/>
        </w:rPr>
      </w:pPr>
    </w:p>
    <w:p w14:paraId="2B077982" w14:textId="61B7A373" w:rsidR="006B3D88" w:rsidRDefault="00A3421D" w:rsidP="00B36384">
      <w:pPr>
        <w:rPr>
          <w:sz w:val="20"/>
          <w:szCs w:val="20"/>
          <w:u w:val="single"/>
        </w:rPr>
      </w:pPr>
      <w:r>
        <w:rPr>
          <w:sz w:val="20"/>
          <w:szCs w:val="20"/>
          <w:u w:val="single"/>
        </w:rPr>
        <w:t>Wettelijk kader</w:t>
      </w:r>
    </w:p>
    <w:p w14:paraId="57038C11" w14:textId="55215049" w:rsidR="00A3421D" w:rsidRDefault="00A3421D" w:rsidP="00B36384">
      <w:pPr>
        <w:rPr>
          <w:sz w:val="20"/>
          <w:szCs w:val="20"/>
        </w:rPr>
      </w:pPr>
      <w:r w:rsidRPr="00A3421D">
        <w:rPr>
          <w:sz w:val="20"/>
          <w:szCs w:val="20"/>
        </w:rPr>
        <w:t>Vanaf het verslagjaar 2008 geldt voor de inrichting van de jaarrekening en het jaarverslag van alle bekostigde onderwijsinstellingen, universiteiten en een aantal andere aangewezen instellingen de Regeling jaarverslaggeving onderwijs (RJO). Deze sluit aan op de inrichtingsvereisten van boek 2, titel 9 van het Burgerlijk Wetboek en de Richtlijnen van de Raad voor de Jaarverslaggeving (BW2/RJ). Waar nodig vult de RJO aan of wijkt deze van titel 9 BW2 af.</w:t>
      </w:r>
    </w:p>
    <w:p w14:paraId="51E8827A" w14:textId="77777777" w:rsidR="00BB4BE0" w:rsidRDefault="00BB4BE0" w:rsidP="00B36384">
      <w:pPr>
        <w:rPr>
          <w:sz w:val="20"/>
          <w:szCs w:val="20"/>
        </w:rPr>
      </w:pPr>
    </w:p>
    <w:p w14:paraId="083BCD7D" w14:textId="0F34F355" w:rsidR="00BB4BE0" w:rsidRDefault="00BB4BE0" w:rsidP="00B36384">
      <w:pPr>
        <w:rPr>
          <w:sz w:val="20"/>
          <w:szCs w:val="20"/>
          <w:u w:val="single"/>
        </w:rPr>
      </w:pPr>
      <w:r>
        <w:rPr>
          <w:sz w:val="20"/>
          <w:szCs w:val="20"/>
          <w:u w:val="single"/>
        </w:rPr>
        <w:t>Uitgangspunten</w:t>
      </w:r>
    </w:p>
    <w:p w14:paraId="0D6261B6" w14:textId="4C7A6E25" w:rsidR="00BB4BE0" w:rsidRDefault="00BB4BE0" w:rsidP="00B36384">
      <w:pPr>
        <w:rPr>
          <w:sz w:val="20"/>
          <w:szCs w:val="20"/>
        </w:rPr>
      </w:pPr>
      <w:r>
        <w:rPr>
          <w:sz w:val="20"/>
          <w:szCs w:val="20"/>
        </w:rPr>
        <w:t>Met betrekking tot de uitgangspunten wijken die voor Onderwijs op de volgende punten af:</w:t>
      </w:r>
    </w:p>
    <w:p w14:paraId="6D25E3DA" w14:textId="77777777" w:rsidR="0079462A" w:rsidRDefault="00BB4BE0" w:rsidP="00FE51F5">
      <w:pPr>
        <w:pStyle w:val="Lijstalinea"/>
        <w:numPr>
          <w:ilvl w:val="0"/>
          <w:numId w:val="4"/>
        </w:numPr>
        <w:rPr>
          <w:sz w:val="20"/>
          <w:szCs w:val="20"/>
        </w:rPr>
      </w:pPr>
      <w:r>
        <w:rPr>
          <w:sz w:val="20"/>
          <w:szCs w:val="20"/>
        </w:rPr>
        <w:t xml:space="preserve">4. Aansluiten bij Europese ontwikkelingen. Met de partijen in de verantwoordingsketen van Onderwijs zal nog worden </w:t>
      </w:r>
      <w:r w:rsidR="0079462A">
        <w:rPr>
          <w:sz w:val="20"/>
          <w:szCs w:val="20"/>
        </w:rPr>
        <w:t>afgestemd of een extensietaxonomie gewenst en noodzakelijk is.</w:t>
      </w:r>
    </w:p>
    <w:p w14:paraId="055F1FEC" w14:textId="622A8255" w:rsidR="0079462A" w:rsidRDefault="0079462A" w:rsidP="00FE51F5">
      <w:pPr>
        <w:pStyle w:val="Lijstalinea"/>
        <w:numPr>
          <w:ilvl w:val="0"/>
          <w:numId w:val="4"/>
        </w:numPr>
        <w:rPr>
          <w:sz w:val="20"/>
          <w:szCs w:val="20"/>
        </w:rPr>
      </w:pPr>
      <w:r>
        <w:rPr>
          <w:sz w:val="20"/>
          <w:szCs w:val="20"/>
        </w:rPr>
        <w:t>6. Meer granulariteit mogelijk. Voor Onderwijs zal een grotere granulariteit gevraagd worden. Bijvoorbeeld in het geval van een geconsolideerde jaarrekening zal niet alleen de geconsolideerde jaarrekening moeten worden gemarkeerd maar ook de enkelvoudige jaarrekening.</w:t>
      </w:r>
    </w:p>
    <w:p w14:paraId="7A361C30" w14:textId="77777777" w:rsidR="0079462A" w:rsidRDefault="0079462A" w:rsidP="00FE51F5">
      <w:pPr>
        <w:pStyle w:val="Lijstalinea"/>
        <w:numPr>
          <w:ilvl w:val="0"/>
          <w:numId w:val="4"/>
        </w:numPr>
        <w:rPr>
          <w:sz w:val="20"/>
          <w:szCs w:val="20"/>
        </w:rPr>
      </w:pPr>
      <w:r>
        <w:rPr>
          <w:sz w:val="20"/>
          <w:szCs w:val="20"/>
        </w:rPr>
        <w:t>7. iXBRL-formaat de nieuwe standaard. Voor Verplichtstelling Groot is het iXBRL-formaat het aanbevolen formaat voor jaarrapportages echter het XBRL-formaat kan ook nog steeds gebruikt worden. Voor Onderwijs zal in de toekomst een verplichtstelling komen waarbij alleen gebruik mag worden gemaakt van het iXBRL-formaat.</w:t>
      </w:r>
    </w:p>
    <w:p w14:paraId="0451B01A" w14:textId="77777777" w:rsidR="00FE51F5" w:rsidRDefault="00FE51F5" w:rsidP="00FE51F5">
      <w:pPr>
        <w:pStyle w:val="Lijstalinea"/>
        <w:ind w:left="0"/>
        <w:rPr>
          <w:sz w:val="20"/>
          <w:szCs w:val="20"/>
        </w:rPr>
      </w:pPr>
    </w:p>
    <w:p w14:paraId="302B7E87" w14:textId="17CE6FE8" w:rsidR="00BB4BE0" w:rsidRDefault="00FA3203" w:rsidP="00FE51F5">
      <w:pPr>
        <w:pStyle w:val="Lijstalinea"/>
        <w:ind w:left="0"/>
        <w:rPr>
          <w:sz w:val="20"/>
          <w:szCs w:val="20"/>
          <w:u w:val="single"/>
        </w:rPr>
      </w:pPr>
      <w:r w:rsidRPr="00FA3203">
        <w:rPr>
          <w:sz w:val="20"/>
          <w:szCs w:val="20"/>
          <w:u w:val="single"/>
        </w:rPr>
        <w:t>RTS voor jaarrapportages in iX</w:t>
      </w:r>
      <w:r>
        <w:rPr>
          <w:sz w:val="20"/>
          <w:szCs w:val="20"/>
          <w:u w:val="single"/>
        </w:rPr>
        <w:t>BRL-formaat</w:t>
      </w:r>
    </w:p>
    <w:p w14:paraId="4C1AED4A" w14:textId="0586A545" w:rsidR="00FC2CA6" w:rsidRPr="00FC2CA6" w:rsidRDefault="00FC2CA6" w:rsidP="00FE51F5">
      <w:pPr>
        <w:pStyle w:val="Lijstalinea"/>
        <w:ind w:left="0"/>
        <w:rPr>
          <w:sz w:val="20"/>
          <w:szCs w:val="20"/>
        </w:rPr>
      </w:pPr>
      <w:r>
        <w:rPr>
          <w:sz w:val="20"/>
          <w:szCs w:val="20"/>
        </w:rPr>
        <w:t>Hieronder zijn alleen de artikelen opgenomen die voor Onderwijs anders zijn.</w:t>
      </w:r>
    </w:p>
    <w:p w14:paraId="73C904B3" w14:textId="77777777" w:rsidR="00FC2CA6" w:rsidRDefault="00FC2CA6" w:rsidP="00FE51F5">
      <w:pPr>
        <w:pStyle w:val="Lijstalinea"/>
        <w:ind w:left="0"/>
        <w:rPr>
          <w:i/>
          <w:iCs/>
          <w:sz w:val="20"/>
          <w:szCs w:val="20"/>
        </w:rPr>
      </w:pPr>
    </w:p>
    <w:p w14:paraId="0721A981" w14:textId="400DFDA9" w:rsidR="00A87E43" w:rsidRDefault="00FC2CA6" w:rsidP="00FE51F5">
      <w:pPr>
        <w:pStyle w:val="Lijstalinea"/>
        <w:ind w:left="0"/>
        <w:rPr>
          <w:i/>
          <w:iCs/>
          <w:sz w:val="20"/>
          <w:szCs w:val="20"/>
        </w:rPr>
      </w:pPr>
      <w:r>
        <w:rPr>
          <w:i/>
          <w:iCs/>
          <w:sz w:val="20"/>
          <w:szCs w:val="20"/>
        </w:rPr>
        <w:t>Artikel 1 Onderwerp</w:t>
      </w:r>
    </w:p>
    <w:p w14:paraId="53FF8F22" w14:textId="38D8898D" w:rsidR="00FC2CA6" w:rsidRDefault="00F063DD" w:rsidP="00FE51F5">
      <w:pPr>
        <w:pStyle w:val="Lijstalinea"/>
        <w:ind w:left="0"/>
        <w:rPr>
          <w:sz w:val="20"/>
          <w:szCs w:val="20"/>
        </w:rPr>
      </w:pPr>
      <w:r w:rsidRPr="00F063DD">
        <w:t>Dit hoofdstuk specificeert het iXBRL-formaat dat gebruikt moet worden voor het aanleveren van de jaarverslaggeving bij de Dienst Uitvoering Onderwijs (DUO).</w:t>
      </w:r>
    </w:p>
    <w:p w14:paraId="7D1E301D" w14:textId="77777777" w:rsidR="00FC2CA6" w:rsidRDefault="00FC2CA6" w:rsidP="00FE51F5">
      <w:pPr>
        <w:pStyle w:val="Lijstalinea"/>
        <w:ind w:left="0"/>
        <w:rPr>
          <w:sz w:val="20"/>
          <w:szCs w:val="20"/>
        </w:rPr>
      </w:pPr>
    </w:p>
    <w:p w14:paraId="56C9ED83" w14:textId="47913ED9" w:rsidR="00FC2CA6" w:rsidRDefault="00FC2CA6" w:rsidP="00FE51F5">
      <w:pPr>
        <w:pStyle w:val="Lijstalinea"/>
        <w:ind w:left="0"/>
        <w:rPr>
          <w:i/>
          <w:iCs/>
          <w:sz w:val="20"/>
          <w:szCs w:val="20"/>
        </w:rPr>
      </w:pPr>
      <w:r>
        <w:rPr>
          <w:i/>
          <w:iCs/>
          <w:sz w:val="20"/>
          <w:szCs w:val="20"/>
        </w:rPr>
        <w:t>Artikel 2 Definities</w:t>
      </w:r>
    </w:p>
    <w:p w14:paraId="16F21B5C" w14:textId="0C143FC0" w:rsidR="00FC2CA6" w:rsidRDefault="00FC2CA6" w:rsidP="00E63129">
      <w:pPr>
        <w:pStyle w:val="Lijstalinea"/>
        <w:numPr>
          <w:ilvl w:val="0"/>
          <w:numId w:val="5"/>
        </w:numPr>
        <w:rPr>
          <w:sz w:val="20"/>
          <w:szCs w:val="20"/>
        </w:rPr>
      </w:pPr>
      <w:r>
        <w:rPr>
          <w:sz w:val="20"/>
          <w:szCs w:val="20"/>
        </w:rPr>
        <w:t>Punt 2. Met de partijen in de verantwoordingsketen van Onderwijs zal nog worden afgestemd of een extensietaxonomie gewenst en noodzakelijk is.</w:t>
      </w:r>
    </w:p>
    <w:p w14:paraId="775B524D" w14:textId="2FCC7C29" w:rsidR="00F063DD" w:rsidRPr="00F063DD" w:rsidRDefault="00F063DD" w:rsidP="00822D41">
      <w:pPr>
        <w:pStyle w:val="Lijstalinea"/>
        <w:numPr>
          <w:ilvl w:val="0"/>
          <w:numId w:val="5"/>
        </w:numPr>
        <w:rPr>
          <w:sz w:val="20"/>
          <w:szCs w:val="20"/>
        </w:rPr>
      </w:pPr>
      <w:r w:rsidRPr="00F063DD">
        <w:rPr>
          <w:sz w:val="20"/>
          <w:szCs w:val="20"/>
        </w:rPr>
        <w:t xml:space="preserve">Punt 3. </w:t>
      </w:r>
      <w:r w:rsidRPr="00F063DD">
        <w:rPr>
          <w:rStyle w:val="Intensieveverwijzing"/>
          <w:b w:val="0"/>
          <w:bCs w:val="0"/>
          <w:smallCaps w:val="0"/>
          <w:color w:val="auto"/>
          <w:spacing w:val="0"/>
        </w:rPr>
        <w:t>“jaarrapportage”:</w:t>
      </w:r>
      <w:r w:rsidRPr="00F063DD">
        <w:rPr>
          <w:rStyle w:val="Intensieveverwijzing"/>
          <w:b w:val="0"/>
          <w:bCs w:val="0"/>
          <w:smallCaps w:val="0"/>
          <w:color w:val="auto"/>
          <w:spacing w:val="0"/>
        </w:rPr>
        <w:t xml:space="preserve"> </w:t>
      </w:r>
      <w:r w:rsidRPr="009E234B">
        <w:t>de set van documenten die door rechtspersonen worden opgesteld</w:t>
      </w:r>
      <w:r>
        <w:rPr>
          <w:rStyle w:val="Verwijzingopmerking"/>
        </w:rPr>
        <w:t xml:space="preserve">, </w:t>
      </w:r>
      <w:r w:rsidRPr="009E234B">
        <w:t>met inbegrip van de geconsolideerde en/of enkelvoudige jaarrekening, het bestuursverslag en de overige gegevens.</w:t>
      </w:r>
    </w:p>
    <w:p w14:paraId="63AD7FE5" w14:textId="084A0E2D" w:rsidR="00FC2CA6" w:rsidRDefault="00FC2CA6" w:rsidP="00E63129">
      <w:pPr>
        <w:pStyle w:val="Lijstalinea"/>
        <w:numPr>
          <w:ilvl w:val="0"/>
          <w:numId w:val="5"/>
        </w:numPr>
        <w:rPr>
          <w:sz w:val="20"/>
          <w:szCs w:val="20"/>
        </w:rPr>
      </w:pPr>
      <w:r>
        <w:rPr>
          <w:sz w:val="20"/>
          <w:szCs w:val="20"/>
        </w:rPr>
        <w:t xml:space="preserve">Punt 4. </w:t>
      </w:r>
      <w:r w:rsidR="00F063DD" w:rsidRPr="00F063DD">
        <w:rPr>
          <w:sz w:val="20"/>
          <w:szCs w:val="20"/>
        </w:rPr>
        <w:t>de geconsolideerde en/of enkelvoudige jaarrekening die is opgesteld in overeenstemming met de vereisten van de Regeling jaarverslaggeving onderwijs</w:t>
      </w:r>
      <w:r w:rsidRPr="00A3421D">
        <w:rPr>
          <w:sz w:val="20"/>
          <w:szCs w:val="20"/>
        </w:rPr>
        <w:t>.</w:t>
      </w:r>
    </w:p>
    <w:p w14:paraId="7432ABE3" w14:textId="2558D1DB" w:rsidR="00FC2CA6" w:rsidRDefault="00FC2CA6" w:rsidP="00E63129">
      <w:pPr>
        <w:pStyle w:val="Lijstalinea"/>
        <w:numPr>
          <w:ilvl w:val="0"/>
          <w:numId w:val="5"/>
        </w:numPr>
        <w:rPr>
          <w:sz w:val="20"/>
          <w:szCs w:val="20"/>
        </w:rPr>
      </w:pPr>
      <w:r>
        <w:rPr>
          <w:sz w:val="20"/>
          <w:szCs w:val="20"/>
        </w:rPr>
        <w:t>Punt 5 t/m 8. Voor Onderwijs niet van toepassing.</w:t>
      </w:r>
    </w:p>
    <w:p w14:paraId="127DDC80" w14:textId="77777777" w:rsidR="00FC2CA6" w:rsidRDefault="00FC2CA6" w:rsidP="00FE51F5">
      <w:pPr>
        <w:pStyle w:val="Lijstalinea"/>
        <w:ind w:left="0"/>
        <w:rPr>
          <w:sz w:val="20"/>
          <w:szCs w:val="20"/>
        </w:rPr>
      </w:pPr>
    </w:p>
    <w:p w14:paraId="495BB419" w14:textId="203691F2" w:rsidR="00FC2CA6" w:rsidRDefault="00FC2CA6" w:rsidP="00FE51F5">
      <w:pPr>
        <w:pStyle w:val="Lijstalinea"/>
        <w:ind w:left="0"/>
        <w:rPr>
          <w:i/>
          <w:iCs/>
          <w:sz w:val="20"/>
          <w:szCs w:val="20"/>
        </w:rPr>
      </w:pPr>
      <w:r>
        <w:rPr>
          <w:i/>
          <w:iCs/>
          <w:sz w:val="20"/>
          <w:szCs w:val="20"/>
        </w:rPr>
        <w:t>Artikel 3 – Elektronische formaat</w:t>
      </w:r>
    </w:p>
    <w:p w14:paraId="2B5D5CCA" w14:textId="77777777" w:rsidR="00F063DD" w:rsidRPr="00B226B7" w:rsidRDefault="00F063DD" w:rsidP="00F063DD">
      <w:r w:rsidRPr="00F063DD">
        <w:t>Bevoegde gezagen leveren hun jaarverslag in XHTML-formaat aan bij DUO.</w:t>
      </w:r>
    </w:p>
    <w:p w14:paraId="36738CE9" w14:textId="77777777" w:rsidR="00FC2CA6" w:rsidRDefault="00FC2CA6" w:rsidP="00FE51F5">
      <w:pPr>
        <w:pStyle w:val="Lijstalinea"/>
        <w:ind w:left="0"/>
        <w:rPr>
          <w:sz w:val="20"/>
          <w:szCs w:val="20"/>
        </w:rPr>
      </w:pPr>
    </w:p>
    <w:p w14:paraId="16449F9C" w14:textId="31CB521E" w:rsidR="00FC2CA6" w:rsidRDefault="00FC2CA6" w:rsidP="00FE51F5">
      <w:pPr>
        <w:pStyle w:val="Lijstalinea"/>
        <w:ind w:left="0"/>
        <w:rPr>
          <w:i/>
          <w:iCs/>
          <w:sz w:val="20"/>
          <w:szCs w:val="20"/>
        </w:rPr>
      </w:pPr>
      <w:r>
        <w:rPr>
          <w:i/>
          <w:iCs/>
          <w:sz w:val="20"/>
          <w:szCs w:val="20"/>
        </w:rPr>
        <w:t xml:space="preserve">Artikel 4 </w:t>
      </w:r>
      <w:r w:rsidR="00E63129">
        <w:rPr>
          <w:i/>
          <w:iCs/>
          <w:sz w:val="20"/>
          <w:szCs w:val="20"/>
        </w:rPr>
        <w:t>–</w:t>
      </w:r>
      <w:r>
        <w:rPr>
          <w:i/>
          <w:iCs/>
          <w:sz w:val="20"/>
          <w:szCs w:val="20"/>
        </w:rPr>
        <w:t xml:space="preserve"> </w:t>
      </w:r>
      <w:r w:rsidR="00E63129">
        <w:rPr>
          <w:i/>
          <w:iCs/>
          <w:sz w:val="20"/>
          <w:szCs w:val="20"/>
        </w:rPr>
        <w:t>Markering van (geconsolideerde) jaarrekening IFRS, NL-GAAP of Overige GAAP</w:t>
      </w:r>
    </w:p>
    <w:p w14:paraId="7B8D2F80" w14:textId="65EF142D" w:rsidR="00F063DD" w:rsidRPr="00F063DD" w:rsidRDefault="00E63129" w:rsidP="00F063DD">
      <w:pPr>
        <w:pStyle w:val="Lijstalinea"/>
        <w:numPr>
          <w:ilvl w:val="0"/>
          <w:numId w:val="16"/>
        </w:numPr>
        <w:rPr>
          <w:rStyle w:val="Intensieveverwijzing"/>
          <w:b w:val="0"/>
          <w:bCs w:val="0"/>
          <w:smallCaps w:val="0"/>
          <w:color w:val="auto"/>
          <w:spacing w:val="0"/>
        </w:rPr>
      </w:pPr>
      <w:r w:rsidRPr="00F063DD">
        <w:rPr>
          <w:sz w:val="20"/>
          <w:szCs w:val="20"/>
        </w:rPr>
        <w:t>Punt 1</w:t>
      </w:r>
      <w:r w:rsidR="00F063DD" w:rsidRPr="00F063DD">
        <w:rPr>
          <w:rStyle w:val="Intensieveverwijzing"/>
          <w:b w:val="0"/>
          <w:bCs w:val="0"/>
          <w:smallCaps w:val="0"/>
          <w:spacing w:val="0"/>
        </w:rPr>
        <w:t xml:space="preserve"> </w:t>
      </w:r>
      <w:r w:rsidR="00F063DD" w:rsidRPr="00F063DD">
        <w:rPr>
          <w:rStyle w:val="Intensieveverwijzing"/>
          <w:b w:val="0"/>
          <w:bCs w:val="0"/>
          <w:smallCaps w:val="0"/>
          <w:color w:val="auto"/>
          <w:spacing w:val="0"/>
        </w:rPr>
        <w:t xml:space="preserve">Wanneer een jaarrapportage: </w:t>
      </w:r>
    </w:p>
    <w:p w14:paraId="7264417A" w14:textId="77777777" w:rsidR="00F063DD" w:rsidRPr="00F063DD" w:rsidRDefault="00F063DD" w:rsidP="00F063DD">
      <w:pPr>
        <w:pStyle w:val="Lijstalinea"/>
        <w:numPr>
          <w:ilvl w:val="0"/>
          <w:numId w:val="18"/>
        </w:numPr>
        <w:rPr>
          <w:rStyle w:val="Intensieveverwijzing"/>
          <w:b w:val="0"/>
          <w:bCs w:val="0"/>
          <w:smallCaps w:val="0"/>
          <w:color w:val="auto"/>
          <w:spacing w:val="0"/>
        </w:rPr>
      </w:pPr>
      <w:r w:rsidRPr="00F063DD">
        <w:rPr>
          <w:rStyle w:val="Intensieveverwijzing"/>
          <w:b w:val="0"/>
          <w:bCs w:val="0"/>
          <w:smallCaps w:val="0"/>
          <w:color w:val="auto"/>
          <w:spacing w:val="0"/>
        </w:rPr>
        <w:t xml:space="preserve">zowel een geconsolideerde als een enkelvoudige jaarrekening bevat, dient het bevoegd  gezag zowel de geconsolideerde als de enkelvoudige jaarrekening te markeren. </w:t>
      </w:r>
    </w:p>
    <w:p w14:paraId="77304248" w14:textId="0B30C874" w:rsidR="00E63129" w:rsidRPr="00F063DD" w:rsidRDefault="00F063DD" w:rsidP="00F063DD">
      <w:pPr>
        <w:pStyle w:val="Lijstalinea"/>
        <w:numPr>
          <w:ilvl w:val="0"/>
          <w:numId w:val="18"/>
        </w:numPr>
        <w:rPr>
          <w:sz w:val="20"/>
          <w:szCs w:val="20"/>
        </w:rPr>
      </w:pPr>
      <w:r w:rsidRPr="00F063DD">
        <w:rPr>
          <w:rStyle w:val="Intensieveverwijzing"/>
          <w:b w:val="0"/>
          <w:bCs w:val="0"/>
          <w:smallCaps w:val="0"/>
          <w:color w:val="auto"/>
          <w:spacing w:val="0"/>
        </w:rPr>
        <w:t>alleen een enkelvoudige jaarrekening bevat, dient het bevoegd gezag de enkelvoudige jaarrekening te markeren.</w:t>
      </w:r>
    </w:p>
    <w:p w14:paraId="577494A8" w14:textId="5177BEE3" w:rsidR="00E63129" w:rsidRPr="00D0065D" w:rsidRDefault="00E63129" w:rsidP="00F063DD">
      <w:pPr>
        <w:pStyle w:val="Lijstalinea"/>
        <w:numPr>
          <w:ilvl w:val="0"/>
          <w:numId w:val="5"/>
        </w:numPr>
        <w:rPr>
          <w:sz w:val="20"/>
          <w:szCs w:val="20"/>
        </w:rPr>
      </w:pPr>
      <w:r w:rsidRPr="00D0065D">
        <w:rPr>
          <w:sz w:val="20"/>
          <w:szCs w:val="20"/>
        </w:rPr>
        <w:t xml:space="preserve">Punt 2. </w:t>
      </w:r>
      <w:r w:rsidR="00D0065D" w:rsidRPr="00D0065D">
        <w:rPr>
          <w:rStyle w:val="Intensieveverwijzing"/>
          <w:b w:val="0"/>
          <w:bCs w:val="0"/>
          <w:smallCaps w:val="0"/>
          <w:color w:val="auto"/>
          <w:spacing w:val="0"/>
        </w:rPr>
        <w:t>Bevoegde gezag</w:t>
      </w:r>
      <w:r w:rsidR="00D0065D" w:rsidRPr="00D0065D">
        <w:rPr>
          <w:rStyle w:val="Intensieveverwijzing"/>
          <w:b w:val="0"/>
          <w:bCs w:val="0"/>
          <w:smallCaps w:val="0"/>
          <w:color w:val="auto"/>
          <w:spacing w:val="0"/>
        </w:rPr>
        <w:t>e</w:t>
      </w:r>
      <w:r w:rsidR="00D0065D" w:rsidRPr="00D0065D">
        <w:rPr>
          <w:rStyle w:val="Intensieveverwijzing"/>
          <w:b w:val="0"/>
          <w:bCs w:val="0"/>
          <w:smallCaps w:val="0"/>
          <w:color w:val="auto"/>
          <w:spacing w:val="0"/>
        </w:rPr>
        <w:t>n markeren in de jaarrapportage ten minste de in bijlage II vermelde informatie met de overeenkomstige XBRL-elementen.</w:t>
      </w:r>
    </w:p>
    <w:p w14:paraId="6AD057D5" w14:textId="3053F145" w:rsidR="00E63129" w:rsidRPr="00D0065D" w:rsidRDefault="00E63129" w:rsidP="00F063DD">
      <w:pPr>
        <w:pStyle w:val="Lijstalinea"/>
        <w:numPr>
          <w:ilvl w:val="0"/>
          <w:numId w:val="5"/>
        </w:numPr>
        <w:rPr>
          <w:sz w:val="20"/>
          <w:szCs w:val="20"/>
        </w:rPr>
      </w:pPr>
      <w:r w:rsidRPr="00D0065D">
        <w:rPr>
          <w:sz w:val="20"/>
          <w:szCs w:val="20"/>
        </w:rPr>
        <w:t xml:space="preserve">Punt 4. </w:t>
      </w:r>
      <w:r w:rsidR="00D0065D" w:rsidRPr="00D0065D">
        <w:rPr>
          <w:rStyle w:val="Intensieveverwijzing"/>
          <w:b w:val="0"/>
          <w:bCs w:val="0"/>
          <w:smallCaps w:val="0"/>
          <w:color w:val="auto"/>
          <w:spacing w:val="0"/>
        </w:rPr>
        <w:t xml:space="preserve">Voor de in leden 1, 2 en 3 beschreven markeringen gebruiken bevoegde gezagen de markeertaal XBRL, alsmede een eigen extensietaxonomie met daarin de elementen die zijn beschreven in de basistaxonomieën. Indien het overeenkomstig punt 4 van bijlage IV niet </w:t>
      </w:r>
      <w:r w:rsidR="00D0065D" w:rsidRPr="00D0065D">
        <w:rPr>
          <w:rStyle w:val="Intensieveverwijzing"/>
          <w:b w:val="0"/>
          <w:bCs w:val="0"/>
          <w:smallCaps w:val="0"/>
          <w:color w:val="auto"/>
          <w:spacing w:val="0"/>
        </w:rPr>
        <w:lastRenderedPageBreak/>
        <w:t>passend is om elementen van de basistaxonomie te gebruiken, creëren bevoegde gezagen extensietaxonomie-elementen zoals bepaald in bijlage IV.</w:t>
      </w:r>
    </w:p>
    <w:p w14:paraId="1FA85FF4" w14:textId="4AA3B5A5" w:rsidR="00E63129" w:rsidRDefault="00E63129" w:rsidP="00F063DD">
      <w:pPr>
        <w:pStyle w:val="Lijstalinea"/>
        <w:numPr>
          <w:ilvl w:val="0"/>
          <w:numId w:val="5"/>
        </w:numPr>
        <w:rPr>
          <w:sz w:val="20"/>
          <w:szCs w:val="20"/>
        </w:rPr>
      </w:pPr>
      <w:r>
        <w:rPr>
          <w:sz w:val="20"/>
          <w:szCs w:val="20"/>
        </w:rPr>
        <w:t>Punt 5.</w:t>
      </w:r>
      <w:r w:rsidR="00E1371B">
        <w:rPr>
          <w:sz w:val="20"/>
          <w:szCs w:val="20"/>
        </w:rPr>
        <w:t xml:space="preserve"> Voor Onderwijs niet van toepassing.</w:t>
      </w:r>
    </w:p>
    <w:p w14:paraId="0C40A02E" w14:textId="77777777" w:rsidR="00E1371B" w:rsidRDefault="00E1371B" w:rsidP="00E1371B">
      <w:pPr>
        <w:rPr>
          <w:sz w:val="20"/>
          <w:szCs w:val="20"/>
        </w:rPr>
      </w:pPr>
    </w:p>
    <w:p w14:paraId="44996F25" w14:textId="0C6B8138" w:rsidR="00E1371B" w:rsidRDefault="00E1371B" w:rsidP="00E1371B">
      <w:pPr>
        <w:rPr>
          <w:i/>
          <w:iCs/>
          <w:sz w:val="20"/>
          <w:szCs w:val="20"/>
        </w:rPr>
      </w:pPr>
      <w:r>
        <w:rPr>
          <w:i/>
          <w:iCs/>
          <w:sz w:val="20"/>
          <w:szCs w:val="20"/>
        </w:rPr>
        <w:t>Artikel 7 – XBRL-taxonomiebestanden</w:t>
      </w:r>
    </w:p>
    <w:p w14:paraId="62809A1C" w14:textId="28CA0746" w:rsidR="00E1371B" w:rsidRDefault="00E1371B" w:rsidP="00E1371B">
      <w:pPr>
        <w:rPr>
          <w:sz w:val="20"/>
          <w:szCs w:val="20"/>
        </w:rPr>
      </w:pPr>
      <w:r>
        <w:rPr>
          <w:sz w:val="20"/>
          <w:szCs w:val="20"/>
        </w:rPr>
        <w:t>Betreft voor Onderwijs de OCW Taxonomie.</w:t>
      </w:r>
    </w:p>
    <w:p w14:paraId="4C6F2EF8" w14:textId="77777777" w:rsidR="00E1371B" w:rsidRDefault="00E1371B" w:rsidP="00E1371B">
      <w:pPr>
        <w:rPr>
          <w:sz w:val="20"/>
          <w:szCs w:val="20"/>
        </w:rPr>
      </w:pPr>
    </w:p>
    <w:p w14:paraId="517C699A" w14:textId="1F9E29DC" w:rsidR="00E1371B" w:rsidRDefault="00E1371B" w:rsidP="00E1371B">
      <w:pPr>
        <w:rPr>
          <w:i/>
          <w:iCs/>
          <w:sz w:val="20"/>
          <w:szCs w:val="20"/>
        </w:rPr>
      </w:pPr>
      <w:r>
        <w:rPr>
          <w:i/>
          <w:iCs/>
          <w:sz w:val="20"/>
          <w:szCs w:val="20"/>
        </w:rPr>
        <w:t>Artikel 8 – Deponeren</w:t>
      </w:r>
    </w:p>
    <w:p w14:paraId="231C2E31" w14:textId="63BB1F7F" w:rsidR="00E1371B" w:rsidRDefault="00E1371B" w:rsidP="00E1371B">
      <w:pPr>
        <w:pStyle w:val="Lijstalinea"/>
        <w:numPr>
          <w:ilvl w:val="0"/>
          <w:numId w:val="7"/>
        </w:numPr>
        <w:rPr>
          <w:sz w:val="20"/>
          <w:szCs w:val="20"/>
        </w:rPr>
      </w:pPr>
      <w:r>
        <w:rPr>
          <w:sz w:val="20"/>
          <w:szCs w:val="20"/>
        </w:rPr>
        <w:t>Punt 1. Onderwijsinstellingen leveren hun jaarverslag in IXBRL-formaat in de vorm van een report package aan bij DUO:</w:t>
      </w:r>
    </w:p>
    <w:p w14:paraId="7856759A" w14:textId="17EC5CA4" w:rsidR="00E1371B" w:rsidRDefault="00E1371B" w:rsidP="00E1371B">
      <w:pPr>
        <w:pStyle w:val="Lijstalinea"/>
        <w:numPr>
          <w:ilvl w:val="1"/>
          <w:numId w:val="7"/>
        </w:numPr>
        <w:rPr>
          <w:sz w:val="20"/>
          <w:szCs w:val="20"/>
        </w:rPr>
      </w:pPr>
      <w:r>
        <w:rPr>
          <w:sz w:val="20"/>
          <w:szCs w:val="20"/>
        </w:rPr>
        <w:t>Geautomatiseerd met behulp van software via de Digipoort: of</w:t>
      </w:r>
    </w:p>
    <w:p w14:paraId="6BE35A6C" w14:textId="16C581D8" w:rsidR="00E1371B" w:rsidRDefault="00E1371B" w:rsidP="00E1371B">
      <w:pPr>
        <w:pStyle w:val="Lijstalinea"/>
        <w:numPr>
          <w:ilvl w:val="1"/>
          <w:numId w:val="7"/>
        </w:numPr>
        <w:rPr>
          <w:sz w:val="20"/>
          <w:szCs w:val="20"/>
        </w:rPr>
      </w:pPr>
      <w:r>
        <w:rPr>
          <w:sz w:val="20"/>
          <w:szCs w:val="20"/>
        </w:rPr>
        <w:t>Handmatig via een uploadportaal (Nog in onderzoek).</w:t>
      </w:r>
    </w:p>
    <w:p w14:paraId="1CDB3AC7" w14:textId="1A643571" w:rsidR="00E1371B" w:rsidRDefault="00E1371B" w:rsidP="00E1371B">
      <w:pPr>
        <w:pStyle w:val="Lijstalinea"/>
        <w:numPr>
          <w:ilvl w:val="0"/>
          <w:numId w:val="7"/>
        </w:numPr>
        <w:rPr>
          <w:sz w:val="20"/>
          <w:szCs w:val="20"/>
        </w:rPr>
      </w:pPr>
      <w:r>
        <w:rPr>
          <w:sz w:val="20"/>
          <w:szCs w:val="20"/>
        </w:rPr>
        <w:t xml:space="preserve">Punt 2. </w:t>
      </w:r>
      <w:r w:rsidR="009D08E8">
        <w:rPr>
          <w:sz w:val="20"/>
          <w:szCs w:val="20"/>
        </w:rPr>
        <w:t>Report Package Onderwijs mag ook maximaal 100 MB zijn</w:t>
      </w:r>
      <w:r>
        <w:rPr>
          <w:sz w:val="20"/>
          <w:szCs w:val="20"/>
        </w:rPr>
        <w:t>.</w:t>
      </w:r>
    </w:p>
    <w:p w14:paraId="6C30512B" w14:textId="3351B121" w:rsidR="00E1371B" w:rsidRDefault="00E1371B" w:rsidP="00E1371B">
      <w:pPr>
        <w:pStyle w:val="Lijstalinea"/>
        <w:numPr>
          <w:ilvl w:val="0"/>
          <w:numId w:val="7"/>
        </w:numPr>
        <w:rPr>
          <w:sz w:val="20"/>
          <w:szCs w:val="20"/>
        </w:rPr>
      </w:pPr>
      <w:r>
        <w:rPr>
          <w:sz w:val="20"/>
          <w:szCs w:val="20"/>
        </w:rPr>
        <w:t>Punt 3. Onderwijsinstellingen dienen te verifiëren dat het Report package succesvol aangeleverd is bij DUO.</w:t>
      </w:r>
    </w:p>
    <w:p w14:paraId="5A860AB4" w14:textId="5F3E8616" w:rsidR="00E73F5D" w:rsidRDefault="00E73F5D" w:rsidP="00E1371B">
      <w:pPr>
        <w:pStyle w:val="Lijstalinea"/>
        <w:numPr>
          <w:ilvl w:val="0"/>
          <w:numId w:val="7"/>
        </w:numPr>
        <w:rPr>
          <w:sz w:val="20"/>
          <w:szCs w:val="20"/>
        </w:rPr>
      </w:pPr>
      <w:r>
        <w:rPr>
          <w:sz w:val="20"/>
          <w:szCs w:val="20"/>
        </w:rPr>
        <w:t xml:space="preserve">Punt 4. </w:t>
      </w:r>
      <w:r w:rsidR="00D0065D">
        <w:rPr>
          <w:sz w:val="20"/>
          <w:szCs w:val="20"/>
        </w:rPr>
        <w:t>Het is mogelijk om een Report Package Onderwijs nog een keer aan te leveren bij DUO.</w:t>
      </w:r>
    </w:p>
    <w:p w14:paraId="76604E62" w14:textId="77777777" w:rsidR="00E73F5D" w:rsidRDefault="00E73F5D" w:rsidP="00E73F5D">
      <w:pPr>
        <w:rPr>
          <w:sz w:val="20"/>
          <w:szCs w:val="20"/>
        </w:rPr>
      </w:pPr>
    </w:p>
    <w:p w14:paraId="053EDAAF" w14:textId="19EAC5EA" w:rsidR="00E73F5D" w:rsidRDefault="00E73F5D" w:rsidP="00E73F5D">
      <w:pPr>
        <w:rPr>
          <w:i/>
          <w:iCs/>
          <w:sz w:val="20"/>
          <w:szCs w:val="20"/>
        </w:rPr>
      </w:pPr>
      <w:r>
        <w:rPr>
          <w:i/>
          <w:iCs/>
          <w:sz w:val="20"/>
          <w:szCs w:val="20"/>
        </w:rPr>
        <w:t>Artikel 9 – Inwerkingtreding en toepassing</w:t>
      </w:r>
    </w:p>
    <w:p w14:paraId="3EF1D2B2" w14:textId="5C95491C" w:rsidR="00E73F5D" w:rsidRPr="00E73F5D" w:rsidRDefault="00E73F5D" w:rsidP="00E73F5D">
      <w:pPr>
        <w:rPr>
          <w:sz w:val="20"/>
          <w:szCs w:val="20"/>
        </w:rPr>
      </w:pPr>
      <w:r>
        <w:rPr>
          <w:sz w:val="20"/>
          <w:szCs w:val="20"/>
        </w:rPr>
        <w:t>Voor Onderwijs moet nog bepaald worden wanneer de verplichting om het jaarverslag in iXBRL aan te leveren ingaat.</w:t>
      </w:r>
    </w:p>
    <w:p w14:paraId="6693F954" w14:textId="77777777" w:rsidR="00FC2CA6" w:rsidRDefault="00FC2CA6" w:rsidP="00FE51F5">
      <w:pPr>
        <w:pStyle w:val="Lijstalinea"/>
        <w:ind w:left="0"/>
        <w:rPr>
          <w:sz w:val="20"/>
          <w:szCs w:val="20"/>
        </w:rPr>
      </w:pPr>
    </w:p>
    <w:p w14:paraId="2956A015" w14:textId="76BFD7FA" w:rsidR="00495CD8" w:rsidRDefault="00495CD8" w:rsidP="00FE51F5">
      <w:pPr>
        <w:pStyle w:val="Lijstalinea"/>
        <w:ind w:left="0"/>
        <w:rPr>
          <w:sz w:val="20"/>
          <w:szCs w:val="20"/>
          <w:u w:val="single"/>
        </w:rPr>
      </w:pPr>
      <w:r>
        <w:rPr>
          <w:sz w:val="20"/>
          <w:szCs w:val="20"/>
          <w:u w:val="single"/>
        </w:rPr>
        <w:t>Bijlage I – Legenda voor tabellen van bijlagen II en IV</w:t>
      </w:r>
    </w:p>
    <w:p w14:paraId="42B532ED" w14:textId="5F524D9A" w:rsidR="00495CD8" w:rsidRPr="00495CD8" w:rsidRDefault="00495CD8" w:rsidP="00FE51F5">
      <w:pPr>
        <w:pStyle w:val="Lijstalinea"/>
        <w:ind w:left="0"/>
        <w:rPr>
          <w:sz w:val="20"/>
          <w:szCs w:val="20"/>
        </w:rPr>
      </w:pPr>
      <w:r>
        <w:rPr>
          <w:sz w:val="20"/>
          <w:szCs w:val="20"/>
        </w:rPr>
        <w:t xml:space="preserve">Laatste twee rijen </w:t>
      </w:r>
      <w:proofErr w:type="spellStart"/>
      <w:r>
        <w:rPr>
          <w:sz w:val="20"/>
          <w:szCs w:val="20"/>
        </w:rPr>
        <w:t>ifrs</w:t>
      </w:r>
      <w:proofErr w:type="spellEnd"/>
      <w:r>
        <w:rPr>
          <w:sz w:val="20"/>
          <w:szCs w:val="20"/>
        </w:rPr>
        <w:t xml:space="preserve">-full en </w:t>
      </w:r>
      <w:proofErr w:type="spellStart"/>
      <w:r>
        <w:rPr>
          <w:sz w:val="20"/>
          <w:szCs w:val="20"/>
        </w:rPr>
        <w:t>esef</w:t>
      </w:r>
      <w:proofErr w:type="spellEnd"/>
      <w:r>
        <w:rPr>
          <w:sz w:val="20"/>
          <w:szCs w:val="20"/>
        </w:rPr>
        <w:t xml:space="preserve"> niet van toepassing.</w:t>
      </w:r>
    </w:p>
    <w:p w14:paraId="15B03584" w14:textId="77777777" w:rsidR="00495CD8" w:rsidRPr="00FC2CA6" w:rsidRDefault="00495CD8" w:rsidP="00FE51F5">
      <w:pPr>
        <w:pStyle w:val="Lijstalinea"/>
        <w:ind w:left="0"/>
        <w:rPr>
          <w:sz w:val="20"/>
          <w:szCs w:val="20"/>
        </w:rPr>
      </w:pPr>
    </w:p>
    <w:p w14:paraId="6107224F" w14:textId="619B057F" w:rsidR="00C66DE7" w:rsidRDefault="0078594F" w:rsidP="00B36384">
      <w:pPr>
        <w:rPr>
          <w:sz w:val="20"/>
          <w:szCs w:val="20"/>
          <w:u w:val="single"/>
        </w:rPr>
      </w:pPr>
      <w:r>
        <w:rPr>
          <w:sz w:val="20"/>
          <w:szCs w:val="20"/>
          <w:u w:val="single"/>
        </w:rPr>
        <w:t>Bijlage II – Verplichte markeringen</w:t>
      </w:r>
    </w:p>
    <w:p w14:paraId="05F4F1F1" w14:textId="6D35AAE0" w:rsidR="00D758E5" w:rsidRPr="00D01847" w:rsidRDefault="00495CD8" w:rsidP="00D01847">
      <w:pPr>
        <w:rPr>
          <w:sz w:val="20"/>
          <w:szCs w:val="20"/>
        </w:rPr>
      </w:pPr>
      <w:r>
        <w:rPr>
          <w:sz w:val="20"/>
          <w:szCs w:val="20"/>
        </w:rPr>
        <w:t>Bevoegde gezagen</w:t>
      </w:r>
      <w:r w:rsidR="00D758E5" w:rsidRPr="00D01847">
        <w:rPr>
          <w:sz w:val="20"/>
          <w:szCs w:val="20"/>
        </w:rPr>
        <w:t xml:space="preserve"> moeten alle bedragen in EUR markeren die zijn opgenomen in:</w:t>
      </w:r>
    </w:p>
    <w:p w14:paraId="20A206A9" w14:textId="2A63C752" w:rsidR="00D758E5" w:rsidRDefault="00D758E5" w:rsidP="00D01847">
      <w:pPr>
        <w:pStyle w:val="Lijstalinea"/>
        <w:numPr>
          <w:ilvl w:val="0"/>
          <w:numId w:val="9"/>
        </w:numPr>
        <w:rPr>
          <w:sz w:val="20"/>
          <w:szCs w:val="20"/>
        </w:rPr>
      </w:pPr>
      <w:r>
        <w:rPr>
          <w:sz w:val="20"/>
          <w:szCs w:val="20"/>
        </w:rPr>
        <w:t>(Geconsolideerde) Balans</w:t>
      </w:r>
    </w:p>
    <w:p w14:paraId="0D381258" w14:textId="77777777" w:rsidR="00D758E5" w:rsidRDefault="00D758E5" w:rsidP="00D01847">
      <w:pPr>
        <w:pStyle w:val="Lijstalinea"/>
        <w:numPr>
          <w:ilvl w:val="0"/>
          <w:numId w:val="9"/>
        </w:numPr>
        <w:rPr>
          <w:sz w:val="20"/>
          <w:szCs w:val="20"/>
        </w:rPr>
      </w:pPr>
      <w:r>
        <w:rPr>
          <w:sz w:val="20"/>
          <w:szCs w:val="20"/>
        </w:rPr>
        <w:t>(Geconsolideerde) Staat van baten en lasten</w:t>
      </w:r>
    </w:p>
    <w:p w14:paraId="44F6DB7C" w14:textId="77777777" w:rsidR="00D758E5" w:rsidRDefault="00D758E5" w:rsidP="00D01847">
      <w:pPr>
        <w:pStyle w:val="Lijstalinea"/>
        <w:numPr>
          <w:ilvl w:val="0"/>
          <w:numId w:val="9"/>
        </w:numPr>
        <w:rPr>
          <w:sz w:val="20"/>
          <w:szCs w:val="20"/>
        </w:rPr>
      </w:pPr>
      <w:r>
        <w:rPr>
          <w:sz w:val="20"/>
          <w:szCs w:val="20"/>
        </w:rPr>
        <w:t>(Geconsolideerde) kasstroomoverzicht (indien aanwezig)</w:t>
      </w:r>
    </w:p>
    <w:p w14:paraId="7DE91A22" w14:textId="77777777" w:rsidR="00B249A5" w:rsidRDefault="00D758E5" w:rsidP="00D01847">
      <w:pPr>
        <w:pStyle w:val="Lijstalinea"/>
        <w:numPr>
          <w:ilvl w:val="0"/>
          <w:numId w:val="9"/>
        </w:numPr>
        <w:rPr>
          <w:sz w:val="20"/>
          <w:szCs w:val="20"/>
        </w:rPr>
      </w:pPr>
      <w:r>
        <w:rPr>
          <w:sz w:val="20"/>
          <w:szCs w:val="20"/>
        </w:rPr>
        <w:t>Verloopoverzichten</w:t>
      </w:r>
      <w:r w:rsidR="00B249A5">
        <w:rPr>
          <w:sz w:val="20"/>
          <w:szCs w:val="20"/>
        </w:rPr>
        <w:t xml:space="preserve"> (indien van toepassing)</w:t>
      </w:r>
    </w:p>
    <w:p w14:paraId="1AE24EE2" w14:textId="6995CD73" w:rsidR="00495CD8" w:rsidRDefault="00495CD8" w:rsidP="00D01847">
      <w:pPr>
        <w:pStyle w:val="Lijstalinea"/>
        <w:numPr>
          <w:ilvl w:val="0"/>
          <w:numId w:val="9"/>
        </w:numPr>
        <w:rPr>
          <w:sz w:val="20"/>
          <w:szCs w:val="20"/>
        </w:rPr>
      </w:pPr>
      <w:r>
        <w:rPr>
          <w:sz w:val="20"/>
          <w:szCs w:val="20"/>
        </w:rPr>
        <w:t>Uitsplitsingen</w:t>
      </w:r>
    </w:p>
    <w:p w14:paraId="1091EF69" w14:textId="335339EF" w:rsidR="00FA5B08" w:rsidRDefault="00FA5B08" w:rsidP="00D01847">
      <w:pPr>
        <w:pStyle w:val="Lijstalinea"/>
        <w:numPr>
          <w:ilvl w:val="0"/>
          <w:numId w:val="9"/>
        </w:numPr>
        <w:rPr>
          <w:sz w:val="20"/>
          <w:szCs w:val="20"/>
        </w:rPr>
      </w:pPr>
      <w:r>
        <w:rPr>
          <w:sz w:val="20"/>
          <w:szCs w:val="20"/>
        </w:rPr>
        <w:t>Toelichtingen</w:t>
      </w:r>
    </w:p>
    <w:p w14:paraId="1171E63E" w14:textId="77777777" w:rsidR="00D01847" w:rsidRDefault="00D01847" w:rsidP="00D01847">
      <w:pPr>
        <w:rPr>
          <w:sz w:val="20"/>
          <w:szCs w:val="20"/>
        </w:rPr>
      </w:pPr>
    </w:p>
    <w:p w14:paraId="4550D8B8" w14:textId="5E91CE01" w:rsidR="00495CD8" w:rsidRDefault="00495CD8" w:rsidP="00D01847">
      <w:pPr>
        <w:rPr>
          <w:sz w:val="20"/>
          <w:szCs w:val="20"/>
        </w:rPr>
      </w:pPr>
      <w:r w:rsidRPr="00495CD8">
        <w:rPr>
          <w:sz w:val="20"/>
          <w:szCs w:val="20"/>
        </w:rPr>
        <w:t xml:space="preserve">Alle streepjes en lege cellen die </w:t>
      </w:r>
      <w:proofErr w:type="spellStart"/>
      <w:r w:rsidRPr="00495CD8">
        <w:rPr>
          <w:sz w:val="20"/>
          <w:szCs w:val="20"/>
        </w:rPr>
        <w:t>nulwaarden</w:t>
      </w:r>
      <w:proofErr w:type="spellEnd"/>
      <w:r w:rsidRPr="00495CD8">
        <w:rPr>
          <w:sz w:val="20"/>
          <w:szCs w:val="20"/>
        </w:rPr>
        <w:t xml:space="preserve"> vertegenwoordigen in deze overzichten en/of toelichtingen moeten ook worden gemarkeerd.</w:t>
      </w:r>
    </w:p>
    <w:p w14:paraId="35D2BEC1" w14:textId="77777777" w:rsidR="00495CD8" w:rsidRDefault="00495CD8" w:rsidP="00D01847">
      <w:pPr>
        <w:rPr>
          <w:sz w:val="20"/>
          <w:szCs w:val="20"/>
        </w:rPr>
      </w:pPr>
    </w:p>
    <w:p w14:paraId="161BCFF7" w14:textId="6D8F739D" w:rsidR="00D01847" w:rsidRDefault="00495CD8" w:rsidP="00D01847">
      <w:pPr>
        <w:rPr>
          <w:sz w:val="20"/>
          <w:szCs w:val="20"/>
        </w:rPr>
      </w:pPr>
      <w:r>
        <w:rPr>
          <w:sz w:val="20"/>
          <w:szCs w:val="20"/>
        </w:rPr>
        <w:t>Bevoegde gezagen</w:t>
      </w:r>
      <w:r w:rsidR="00D01847">
        <w:rPr>
          <w:sz w:val="20"/>
          <w:szCs w:val="20"/>
        </w:rPr>
        <w:t xml:space="preserve"> moeten alle verplichte gegevens </w:t>
      </w:r>
      <w:r w:rsidR="00FA5B08">
        <w:rPr>
          <w:sz w:val="20"/>
          <w:szCs w:val="20"/>
        </w:rPr>
        <w:t xml:space="preserve">(cijfers en tekst) </w:t>
      </w:r>
      <w:r w:rsidR="00D01847">
        <w:rPr>
          <w:sz w:val="20"/>
          <w:szCs w:val="20"/>
        </w:rPr>
        <w:t>markeren die zijn opgenomen met betrekking tot:</w:t>
      </w:r>
    </w:p>
    <w:p w14:paraId="49DA9D66" w14:textId="3447D9DC" w:rsidR="00FA5B08" w:rsidRDefault="00FA5B08" w:rsidP="00FA5B08">
      <w:pPr>
        <w:pStyle w:val="Lijstalinea"/>
        <w:numPr>
          <w:ilvl w:val="0"/>
          <w:numId w:val="10"/>
        </w:numPr>
        <w:rPr>
          <w:sz w:val="20"/>
          <w:szCs w:val="20"/>
        </w:rPr>
      </w:pPr>
      <w:r>
        <w:rPr>
          <w:sz w:val="20"/>
          <w:szCs w:val="20"/>
        </w:rPr>
        <w:t>Toelich</w:t>
      </w:r>
      <w:r w:rsidR="00AA70CF">
        <w:rPr>
          <w:sz w:val="20"/>
          <w:szCs w:val="20"/>
        </w:rPr>
        <w:t>tingen</w:t>
      </w:r>
    </w:p>
    <w:p w14:paraId="1EF4AAAB" w14:textId="24E3472E" w:rsidR="00AA70CF" w:rsidRPr="00FA5B08" w:rsidRDefault="00AA70CF" w:rsidP="00FA5B08">
      <w:pPr>
        <w:pStyle w:val="Lijstalinea"/>
        <w:numPr>
          <w:ilvl w:val="0"/>
          <w:numId w:val="10"/>
        </w:numPr>
        <w:rPr>
          <w:sz w:val="20"/>
          <w:szCs w:val="20"/>
        </w:rPr>
      </w:pPr>
      <w:r>
        <w:rPr>
          <w:sz w:val="20"/>
          <w:szCs w:val="20"/>
        </w:rPr>
        <w:t>Grondslagen</w:t>
      </w:r>
    </w:p>
    <w:p w14:paraId="2DF8B070" w14:textId="57C6F24F" w:rsidR="00D01847" w:rsidRDefault="00D01847" w:rsidP="00D01847">
      <w:pPr>
        <w:pStyle w:val="Lijstalinea"/>
        <w:numPr>
          <w:ilvl w:val="0"/>
          <w:numId w:val="9"/>
        </w:numPr>
        <w:rPr>
          <w:sz w:val="20"/>
          <w:szCs w:val="20"/>
        </w:rPr>
      </w:pPr>
      <w:r>
        <w:rPr>
          <w:sz w:val="20"/>
          <w:szCs w:val="20"/>
        </w:rPr>
        <w:t>Verbonden partijen (indien van toepassing)</w:t>
      </w:r>
    </w:p>
    <w:p w14:paraId="769337C0" w14:textId="5FE312B5" w:rsidR="00D01847" w:rsidRDefault="00D01847" w:rsidP="00D01847">
      <w:pPr>
        <w:pStyle w:val="Lijstalinea"/>
        <w:numPr>
          <w:ilvl w:val="0"/>
          <w:numId w:val="9"/>
        </w:numPr>
        <w:rPr>
          <w:sz w:val="20"/>
          <w:szCs w:val="20"/>
        </w:rPr>
      </w:pPr>
      <w:r>
        <w:rPr>
          <w:sz w:val="20"/>
          <w:szCs w:val="20"/>
        </w:rPr>
        <w:t>Verantwoording subsidies (indien van toepassing</w:t>
      </w:r>
    </w:p>
    <w:p w14:paraId="15AA56FB" w14:textId="65EC1BF0" w:rsidR="00D758E5" w:rsidRDefault="00B249A5" w:rsidP="00D01847">
      <w:pPr>
        <w:pStyle w:val="Lijstalinea"/>
        <w:numPr>
          <w:ilvl w:val="0"/>
          <w:numId w:val="9"/>
        </w:numPr>
        <w:rPr>
          <w:sz w:val="20"/>
          <w:szCs w:val="20"/>
        </w:rPr>
      </w:pPr>
      <w:r>
        <w:rPr>
          <w:sz w:val="20"/>
          <w:szCs w:val="20"/>
        </w:rPr>
        <w:t>Continuïteitsparagraaf</w:t>
      </w:r>
    </w:p>
    <w:p w14:paraId="1F523C52" w14:textId="73000A7B" w:rsidR="00B249A5" w:rsidRDefault="00B249A5" w:rsidP="00D01847">
      <w:pPr>
        <w:pStyle w:val="Lijstalinea"/>
        <w:numPr>
          <w:ilvl w:val="0"/>
          <w:numId w:val="9"/>
        </w:numPr>
        <w:rPr>
          <w:sz w:val="20"/>
          <w:szCs w:val="20"/>
        </w:rPr>
      </w:pPr>
      <w:r>
        <w:rPr>
          <w:sz w:val="20"/>
          <w:szCs w:val="20"/>
        </w:rPr>
        <w:t>WNT-gegevens</w:t>
      </w:r>
    </w:p>
    <w:p w14:paraId="67C22CEF" w14:textId="6DB65483" w:rsidR="00B249A5" w:rsidRDefault="00B249A5" w:rsidP="00D01847">
      <w:pPr>
        <w:pStyle w:val="Lijstalinea"/>
        <w:numPr>
          <w:ilvl w:val="0"/>
          <w:numId w:val="9"/>
        </w:numPr>
        <w:rPr>
          <w:sz w:val="20"/>
          <w:szCs w:val="20"/>
        </w:rPr>
      </w:pPr>
      <w:r>
        <w:rPr>
          <w:sz w:val="20"/>
          <w:szCs w:val="20"/>
        </w:rPr>
        <w:t>Model G</w:t>
      </w:r>
    </w:p>
    <w:p w14:paraId="6B7F4B45" w14:textId="106F2136" w:rsidR="00D01847" w:rsidRDefault="00D01847" w:rsidP="00D01847">
      <w:pPr>
        <w:pStyle w:val="Lijstalinea"/>
        <w:numPr>
          <w:ilvl w:val="0"/>
          <w:numId w:val="9"/>
        </w:numPr>
        <w:rPr>
          <w:sz w:val="20"/>
          <w:szCs w:val="20"/>
        </w:rPr>
      </w:pPr>
      <w:r>
        <w:rPr>
          <w:sz w:val="20"/>
          <w:szCs w:val="20"/>
        </w:rPr>
        <w:t>Rapportage van het toezichthoudend orgaan</w:t>
      </w:r>
    </w:p>
    <w:p w14:paraId="508339D6" w14:textId="77777777" w:rsidR="00D01847" w:rsidRDefault="00D01847" w:rsidP="00D01847">
      <w:pPr>
        <w:pStyle w:val="Lijstalinea"/>
        <w:numPr>
          <w:ilvl w:val="0"/>
          <w:numId w:val="9"/>
        </w:numPr>
        <w:rPr>
          <w:sz w:val="20"/>
          <w:szCs w:val="20"/>
        </w:rPr>
      </w:pPr>
      <w:r>
        <w:rPr>
          <w:sz w:val="20"/>
          <w:szCs w:val="20"/>
        </w:rPr>
        <w:t>Signaleringswaarde bovenmatig publiek eigen vermogen</w:t>
      </w:r>
    </w:p>
    <w:p w14:paraId="35E75CF8" w14:textId="77777777" w:rsidR="00D01847" w:rsidRDefault="00D01847" w:rsidP="00D01847">
      <w:pPr>
        <w:pStyle w:val="Lijstalinea"/>
        <w:numPr>
          <w:ilvl w:val="0"/>
          <w:numId w:val="9"/>
        </w:numPr>
        <w:rPr>
          <w:sz w:val="20"/>
          <w:szCs w:val="20"/>
        </w:rPr>
      </w:pPr>
      <w:r>
        <w:rPr>
          <w:sz w:val="20"/>
          <w:szCs w:val="20"/>
        </w:rPr>
        <w:t>Financiële ondersteuning verleend uit het mbo-fonds (indien van toepassing)</w:t>
      </w:r>
    </w:p>
    <w:p w14:paraId="5B58753B" w14:textId="0098BB07" w:rsidR="00D01847" w:rsidRDefault="00D01847" w:rsidP="00D01847">
      <w:pPr>
        <w:pStyle w:val="Lijstalinea"/>
        <w:numPr>
          <w:ilvl w:val="0"/>
          <w:numId w:val="9"/>
        </w:numPr>
        <w:rPr>
          <w:sz w:val="20"/>
          <w:szCs w:val="20"/>
        </w:rPr>
      </w:pPr>
      <w:r>
        <w:rPr>
          <w:sz w:val="20"/>
          <w:szCs w:val="20"/>
        </w:rPr>
        <w:t>Financiële ondersteuning verleend uit het studentenondersteuningsfonds (indien van toepassing)</w:t>
      </w:r>
    </w:p>
    <w:p w14:paraId="1BEA9509" w14:textId="45647B45" w:rsidR="00D01847" w:rsidRDefault="00D01847" w:rsidP="00D01847">
      <w:pPr>
        <w:pStyle w:val="Lijstalinea"/>
        <w:numPr>
          <w:ilvl w:val="0"/>
          <w:numId w:val="9"/>
        </w:numPr>
        <w:rPr>
          <w:sz w:val="20"/>
          <w:szCs w:val="20"/>
        </w:rPr>
      </w:pPr>
      <w:r>
        <w:rPr>
          <w:sz w:val="20"/>
          <w:szCs w:val="20"/>
        </w:rPr>
        <w:t>Vergoedingen aan en declaraties van bestuurders (indien van toepassing)</w:t>
      </w:r>
    </w:p>
    <w:p w14:paraId="529242E9" w14:textId="53D6967B" w:rsidR="00D01847" w:rsidRDefault="00D01847" w:rsidP="00D01847">
      <w:pPr>
        <w:pStyle w:val="Lijstalinea"/>
        <w:numPr>
          <w:ilvl w:val="0"/>
          <w:numId w:val="9"/>
        </w:numPr>
        <w:rPr>
          <w:sz w:val="20"/>
          <w:szCs w:val="20"/>
        </w:rPr>
      </w:pPr>
      <w:r>
        <w:rPr>
          <w:sz w:val="20"/>
          <w:szCs w:val="20"/>
        </w:rPr>
        <w:t>Financiën van aan UMC gelieerde medische faculteit (indien van toepassing)</w:t>
      </w:r>
    </w:p>
    <w:p w14:paraId="44F4AE04" w14:textId="723A32AD" w:rsidR="00D01847" w:rsidRDefault="00D01847" w:rsidP="00D01847">
      <w:pPr>
        <w:pStyle w:val="Lijstalinea"/>
        <w:numPr>
          <w:ilvl w:val="0"/>
          <w:numId w:val="9"/>
        </w:numPr>
        <w:rPr>
          <w:sz w:val="20"/>
          <w:szCs w:val="20"/>
        </w:rPr>
      </w:pPr>
      <w:r>
        <w:rPr>
          <w:sz w:val="20"/>
          <w:szCs w:val="20"/>
        </w:rPr>
        <w:t>Overige gegevens (voor zover van toepassing)</w:t>
      </w:r>
    </w:p>
    <w:p w14:paraId="166625AE" w14:textId="23608530" w:rsidR="00495CD8" w:rsidRPr="00D758E5" w:rsidRDefault="00495CD8" w:rsidP="00D01847">
      <w:pPr>
        <w:pStyle w:val="Lijstalinea"/>
        <w:numPr>
          <w:ilvl w:val="0"/>
          <w:numId w:val="9"/>
        </w:numPr>
        <w:rPr>
          <w:sz w:val="20"/>
          <w:szCs w:val="20"/>
        </w:rPr>
      </w:pPr>
      <w:r>
        <w:rPr>
          <w:sz w:val="20"/>
          <w:szCs w:val="20"/>
        </w:rPr>
        <w:t>VOG</w:t>
      </w:r>
    </w:p>
    <w:p w14:paraId="6E5F7844" w14:textId="461A981D" w:rsidR="0078594F" w:rsidRPr="0078594F" w:rsidRDefault="0078594F" w:rsidP="00B36384">
      <w:pPr>
        <w:rPr>
          <w:sz w:val="20"/>
          <w:szCs w:val="20"/>
        </w:rPr>
      </w:pPr>
    </w:p>
    <w:p w14:paraId="0B0609B1" w14:textId="038E6601" w:rsidR="0078594F" w:rsidRDefault="003864F0" w:rsidP="00B36384">
      <w:pPr>
        <w:rPr>
          <w:sz w:val="20"/>
          <w:szCs w:val="20"/>
          <w:u w:val="single"/>
        </w:rPr>
      </w:pPr>
      <w:r>
        <w:rPr>
          <w:sz w:val="20"/>
          <w:szCs w:val="20"/>
          <w:u w:val="single"/>
        </w:rPr>
        <w:t>Bijlage III – Geldende XBRL specificaties</w:t>
      </w:r>
    </w:p>
    <w:p w14:paraId="58B2B388" w14:textId="4496928C" w:rsidR="003864F0" w:rsidRDefault="003864F0" w:rsidP="00B36384">
      <w:pPr>
        <w:rPr>
          <w:sz w:val="20"/>
          <w:szCs w:val="20"/>
        </w:rPr>
      </w:pPr>
      <w:r w:rsidRPr="003864F0">
        <w:rPr>
          <w:sz w:val="20"/>
          <w:szCs w:val="20"/>
        </w:rPr>
        <w:t xml:space="preserve">Voor Onderwijs </w:t>
      </w:r>
      <w:r>
        <w:rPr>
          <w:sz w:val="20"/>
          <w:szCs w:val="20"/>
        </w:rPr>
        <w:t>geldt al basistaxonomie de OCW Taxonomie.</w:t>
      </w:r>
    </w:p>
    <w:p w14:paraId="1008E251" w14:textId="3FDEEDC1" w:rsidR="003864F0" w:rsidRDefault="003864F0" w:rsidP="00B36384">
      <w:pPr>
        <w:rPr>
          <w:sz w:val="20"/>
          <w:szCs w:val="20"/>
        </w:rPr>
      </w:pPr>
      <w:r>
        <w:rPr>
          <w:sz w:val="20"/>
          <w:szCs w:val="20"/>
        </w:rPr>
        <w:t>Met de partijen in de verantwoordingsketen van Onderwijs zal nog worden afgestemd of een extensietaxonomie gewenst en noodzakelijk is.</w:t>
      </w:r>
    </w:p>
    <w:p w14:paraId="3B85DDD6" w14:textId="77777777" w:rsidR="003864F0" w:rsidRDefault="003864F0" w:rsidP="00B36384">
      <w:pPr>
        <w:rPr>
          <w:sz w:val="20"/>
          <w:szCs w:val="20"/>
        </w:rPr>
      </w:pPr>
    </w:p>
    <w:p w14:paraId="1A4096CB" w14:textId="1D23AD40" w:rsidR="003864F0" w:rsidRDefault="003864F0" w:rsidP="00B36384">
      <w:pPr>
        <w:rPr>
          <w:sz w:val="20"/>
          <w:szCs w:val="20"/>
          <w:u w:val="single"/>
        </w:rPr>
      </w:pPr>
      <w:r>
        <w:rPr>
          <w:sz w:val="20"/>
          <w:szCs w:val="20"/>
          <w:u w:val="single"/>
        </w:rPr>
        <w:t>Bijlage IV- Markeringsregels</w:t>
      </w:r>
    </w:p>
    <w:p w14:paraId="31042F6E" w14:textId="0FA4EE58" w:rsidR="00495CD8" w:rsidRDefault="00495CD8" w:rsidP="00B36384">
      <w:pPr>
        <w:rPr>
          <w:sz w:val="20"/>
          <w:szCs w:val="20"/>
        </w:rPr>
      </w:pPr>
      <w:r>
        <w:rPr>
          <w:sz w:val="20"/>
          <w:szCs w:val="20"/>
        </w:rPr>
        <w:t>Alle punten gelden ook voor onderwijs.</w:t>
      </w:r>
    </w:p>
    <w:p w14:paraId="6A4F51DE" w14:textId="77777777" w:rsidR="00495CD8" w:rsidRDefault="00495CD8" w:rsidP="00B36384">
      <w:pPr>
        <w:rPr>
          <w:sz w:val="20"/>
          <w:szCs w:val="20"/>
        </w:rPr>
      </w:pPr>
    </w:p>
    <w:p w14:paraId="6217BC6B" w14:textId="306C0E91" w:rsidR="003864F0" w:rsidRPr="003864F0" w:rsidRDefault="00495CD8" w:rsidP="00B36384">
      <w:pPr>
        <w:rPr>
          <w:sz w:val="20"/>
          <w:szCs w:val="20"/>
        </w:rPr>
      </w:pPr>
      <w:r>
        <w:rPr>
          <w:sz w:val="20"/>
          <w:szCs w:val="20"/>
        </w:rPr>
        <w:t xml:space="preserve">Punt 2. </w:t>
      </w:r>
      <w:r w:rsidR="003864F0" w:rsidRPr="003864F0">
        <w:rPr>
          <w:sz w:val="20"/>
          <w:szCs w:val="20"/>
        </w:rPr>
        <w:t xml:space="preserve">In eerste instantie </w:t>
      </w:r>
      <w:r w:rsidR="003864F0">
        <w:rPr>
          <w:sz w:val="20"/>
          <w:szCs w:val="20"/>
        </w:rPr>
        <w:t xml:space="preserve">was het idee dat onderwijsinstellingen geïdentificeerd konden worden op basis van een geldig KvK-nummer. </w:t>
      </w:r>
      <w:r w:rsidR="00B16939">
        <w:rPr>
          <w:sz w:val="20"/>
          <w:szCs w:val="20"/>
        </w:rPr>
        <w:t>Er is echter één situatie waarbij dit niet opgaat. Op dit moment wordt onderzocht wat dan een uniek nummer is om een onderwijsinstelling te kunnen identificeren. Toch KvK-nummer of het Bevoegdgezagnummer (BG-nummer) of een combinatie hiervan eventueel met nog een ander nummer zoals bijvoorbeeld instellingscode.</w:t>
      </w:r>
    </w:p>
    <w:p w14:paraId="1D17A3B5" w14:textId="77777777" w:rsidR="003864F0" w:rsidRDefault="003864F0" w:rsidP="00B36384">
      <w:pPr>
        <w:rPr>
          <w:sz w:val="20"/>
          <w:szCs w:val="20"/>
          <w:u w:val="single"/>
        </w:rPr>
      </w:pPr>
    </w:p>
    <w:p w14:paraId="4B045CC0" w14:textId="1845F016" w:rsidR="003864F0" w:rsidRPr="003864F0" w:rsidRDefault="00495CD8" w:rsidP="00B36384">
      <w:pPr>
        <w:rPr>
          <w:sz w:val="20"/>
          <w:szCs w:val="20"/>
          <w:u w:val="single"/>
        </w:rPr>
      </w:pPr>
      <w:r>
        <w:rPr>
          <w:sz w:val="20"/>
          <w:szCs w:val="20"/>
        </w:rPr>
        <w:t xml:space="preserve">Punt 4: </w:t>
      </w:r>
      <w:r w:rsidR="003864F0">
        <w:rPr>
          <w:sz w:val="20"/>
          <w:szCs w:val="20"/>
        </w:rPr>
        <w:t>Met de partijen in de verantwoordingsketen van Onderwijs zal nog worden afgestemd of een extensietaxonomie gewenst en noodzakelijk is.</w:t>
      </w:r>
    </w:p>
    <w:p w14:paraId="6B62A7ED" w14:textId="77777777" w:rsidR="003864F0" w:rsidRDefault="003864F0" w:rsidP="00B36384">
      <w:pPr>
        <w:rPr>
          <w:sz w:val="20"/>
          <w:szCs w:val="20"/>
        </w:rPr>
      </w:pPr>
    </w:p>
    <w:p w14:paraId="6006DA31" w14:textId="0CF52EC2" w:rsidR="00495CD8" w:rsidRDefault="00495CD8" w:rsidP="00B36384">
      <w:pPr>
        <w:rPr>
          <w:sz w:val="20"/>
          <w:szCs w:val="20"/>
        </w:rPr>
      </w:pPr>
      <w:r>
        <w:rPr>
          <w:sz w:val="20"/>
          <w:szCs w:val="20"/>
        </w:rPr>
        <w:t>Tabel 6 en 7 zijn niet van toepassing voor Onderwijs.</w:t>
      </w:r>
    </w:p>
    <w:p w14:paraId="0E61763B" w14:textId="77777777" w:rsidR="00495CD8" w:rsidRDefault="00495CD8" w:rsidP="00B36384">
      <w:pPr>
        <w:rPr>
          <w:sz w:val="20"/>
          <w:szCs w:val="20"/>
        </w:rPr>
      </w:pPr>
    </w:p>
    <w:p w14:paraId="1126DD2A" w14:textId="1646A15C" w:rsidR="00495CD8" w:rsidRDefault="00495CD8" w:rsidP="00B36384">
      <w:pPr>
        <w:rPr>
          <w:sz w:val="20"/>
          <w:szCs w:val="20"/>
          <w:u w:val="single"/>
        </w:rPr>
      </w:pPr>
      <w:r>
        <w:rPr>
          <w:sz w:val="20"/>
          <w:szCs w:val="20"/>
          <w:u w:val="single"/>
        </w:rPr>
        <w:t>Bijlage V – XBRL-taxonomiebestanden</w:t>
      </w:r>
    </w:p>
    <w:p w14:paraId="26DA97F3" w14:textId="00C84C61" w:rsidR="00495CD8" w:rsidRPr="00495CD8" w:rsidRDefault="00495CD8" w:rsidP="00B36384">
      <w:pPr>
        <w:rPr>
          <w:sz w:val="20"/>
          <w:szCs w:val="20"/>
        </w:rPr>
      </w:pPr>
      <w:r>
        <w:rPr>
          <w:sz w:val="20"/>
          <w:szCs w:val="20"/>
        </w:rPr>
        <w:t>Voor Onderwijs zijn alleen menselijk leesbare labels in Nederlands noodzakelijk.</w:t>
      </w:r>
    </w:p>
    <w:p w14:paraId="50CB6DCF" w14:textId="77777777" w:rsidR="00495CD8" w:rsidRDefault="00495CD8" w:rsidP="00B36384">
      <w:pPr>
        <w:rPr>
          <w:sz w:val="20"/>
          <w:szCs w:val="20"/>
        </w:rPr>
      </w:pPr>
    </w:p>
    <w:p w14:paraId="4D691E39" w14:textId="20F2FF34" w:rsidR="00B16939" w:rsidRDefault="00B16939" w:rsidP="00B36384">
      <w:pPr>
        <w:rPr>
          <w:sz w:val="20"/>
          <w:szCs w:val="20"/>
          <w:u w:val="single"/>
        </w:rPr>
      </w:pPr>
      <w:r>
        <w:rPr>
          <w:sz w:val="20"/>
          <w:szCs w:val="20"/>
          <w:u w:val="single"/>
        </w:rPr>
        <w:t>Bijlage VI – Basistaxonomieën</w:t>
      </w:r>
    </w:p>
    <w:p w14:paraId="03399A38" w14:textId="653611C9" w:rsidR="00B16939" w:rsidRDefault="00B16939" w:rsidP="00B36384">
      <w:pPr>
        <w:rPr>
          <w:sz w:val="20"/>
          <w:szCs w:val="20"/>
        </w:rPr>
      </w:pPr>
      <w:r>
        <w:rPr>
          <w:sz w:val="20"/>
          <w:szCs w:val="20"/>
        </w:rPr>
        <w:t xml:space="preserve">Voor Onderwijs moet de </w:t>
      </w:r>
      <w:r w:rsidR="00B264AA">
        <w:rPr>
          <w:sz w:val="20"/>
          <w:szCs w:val="20"/>
        </w:rPr>
        <w:t>OCW-taxonomie</w:t>
      </w:r>
      <w:r>
        <w:rPr>
          <w:sz w:val="20"/>
          <w:szCs w:val="20"/>
        </w:rPr>
        <w:t xml:space="preserve"> 2025 worden toegevoegd.</w:t>
      </w:r>
    </w:p>
    <w:p w14:paraId="30E74F8F" w14:textId="1FBB1164" w:rsidR="00495CD8" w:rsidRDefault="00495CD8" w:rsidP="00B36384">
      <w:pPr>
        <w:rPr>
          <w:sz w:val="20"/>
          <w:szCs w:val="20"/>
        </w:rPr>
      </w:pPr>
      <w:r>
        <w:rPr>
          <w:sz w:val="20"/>
          <w:szCs w:val="20"/>
        </w:rPr>
        <w:t>IFRS, ESEF en alle 2024 taxonomieën zijn niet van toepassing</w:t>
      </w:r>
      <w:r w:rsidR="00B508D3">
        <w:rPr>
          <w:sz w:val="20"/>
          <w:szCs w:val="20"/>
        </w:rPr>
        <w:t xml:space="preserve"> voor Onderwijs.</w:t>
      </w:r>
    </w:p>
    <w:p w14:paraId="45A730BD" w14:textId="5A0F30F3" w:rsidR="00B508D3" w:rsidRDefault="00B508D3" w:rsidP="00B36384">
      <w:pPr>
        <w:rPr>
          <w:sz w:val="20"/>
          <w:szCs w:val="20"/>
        </w:rPr>
      </w:pPr>
      <w:r>
        <w:rPr>
          <w:sz w:val="20"/>
          <w:szCs w:val="20"/>
        </w:rPr>
        <w:t>Laatste twee alinea’s niet van toepassing voor Onderwijs.</w:t>
      </w:r>
    </w:p>
    <w:p w14:paraId="1B91CB4A" w14:textId="77777777" w:rsidR="00B16939" w:rsidRDefault="00B16939" w:rsidP="00B36384">
      <w:pPr>
        <w:rPr>
          <w:sz w:val="20"/>
          <w:szCs w:val="20"/>
        </w:rPr>
      </w:pPr>
    </w:p>
    <w:p w14:paraId="3B487B1B" w14:textId="590A40D7" w:rsidR="00B16939" w:rsidRDefault="00B16939" w:rsidP="00B36384">
      <w:pPr>
        <w:rPr>
          <w:sz w:val="20"/>
          <w:szCs w:val="20"/>
          <w:u w:val="single"/>
        </w:rPr>
      </w:pPr>
      <w:r>
        <w:rPr>
          <w:sz w:val="20"/>
          <w:szCs w:val="20"/>
          <w:u w:val="single"/>
        </w:rPr>
        <w:t>3. RTS voor jaarrapportages in XBRL-formaat</w:t>
      </w:r>
    </w:p>
    <w:p w14:paraId="65EF5C3F" w14:textId="435351EE" w:rsidR="00B16939" w:rsidRDefault="00B16939" w:rsidP="00B36384">
      <w:pPr>
        <w:rPr>
          <w:sz w:val="20"/>
          <w:szCs w:val="20"/>
        </w:rPr>
      </w:pPr>
      <w:r>
        <w:rPr>
          <w:sz w:val="20"/>
          <w:szCs w:val="20"/>
        </w:rPr>
        <w:t>Niet van toepassing voor Onderwijs omdat jaarrapportage in iXBRL zal gaan plaatsvinden.</w:t>
      </w:r>
    </w:p>
    <w:p w14:paraId="00004C32" w14:textId="77777777" w:rsidR="00B16939" w:rsidRPr="00B16939" w:rsidRDefault="00B16939" w:rsidP="00B36384">
      <w:pPr>
        <w:rPr>
          <w:sz w:val="20"/>
          <w:szCs w:val="20"/>
        </w:rPr>
      </w:pPr>
    </w:p>
    <w:p w14:paraId="680169F1" w14:textId="77777777" w:rsidR="00D43BC9" w:rsidRPr="00FA3203" w:rsidRDefault="00D43BC9" w:rsidP="00B36384">
      <w:pPr>
        <w:rPr>
          <w:sz w:val="20"/>
          <w:szCs w:val="20"/>
        </w:rPr>
      </w:pPr>
    </w:p>
    <w:p w14:paraId="418A8142" w14:textId="3718039E" w:rsidR="00F40722" w:rsidRPr="00FA3203" w:rsidRDefault="00F40722">
      <w:pPr>
        <w:rPr>
          <w:b/>
          <w:bCs/>
          <w:sz w:val="20"/>
          <w:szCs w:val="20"/>
        </w:rPr>
      </w:pPr>
    </w:p>
    <w:p w14:paraId="23D38212" w14:textId="22DA16AA" w:rsidR="001A4AFB" w:rsidRPr="00FC7869" w:rsidRDefault="001A4AFB">
      <w:pPr>
        <w:rPr>
          <w:b/>
          <w:bCs/>
          <w:sz w:val="20"/>
          <w:szCs w:val="20"/>
        </w:rPr>
      </w:pPr>
    </w:p>
    <w:sectPr w:rsidR="001A4AFB" w:rsidRPr="00FC7869">
      <w:headerReference w:type="default"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066" w14:textId="77777777" w:rsidR="00A77A3C" w:rsidRDefault="00A77A3C" w:rsidP="00B436F2">
      <w:r>
        <w:separator/>
      </w:r>
    </w:p>
  </w:endnote>
  <w:endnote w:type="continuationSeparator" w:id="0">
    <w:p w14:paraId="6AFD0D61" w14:textId="77777777" w:rsidR="00A77A3C" w:rsidRDefault="00A77A3C" w:rsidP="00B4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180D" w14:textId="2E9B00AB" w:rsidR="00D87963" w:rsidRDefault="00F922B1">
    <w:pPr>
      <w:pStyle w:val="Voettekst"/>
    </w:pPr>
    <w:r>
      <w:rPr>
        <w:b/>
        <w:bCs/>
        <w:noProof/>
      </w:rPr>
      <mc:AlternateContent>
        <mc:Choice Requires="wps">
          <w:drawing>
            <wp:anchor distT="0" distB="0" distL="114300" distR="114300" simplePos="0" relativeHeight="251661312" behindDoc="1" locked="0" layoutInCell="1" allowOverlap="1" wp14:anchorId="5655F2F6" wp14:editId="0EBD07AE">
              <wp:simplePos x="0" y="0"/>
              <wp:positionH relativeFrom="margin">
                <wp:posOffset>-895985</wp:posOffset>
              </wp:positionH>
              <wp:positionV relativeFrom="paragraph">
                <wp:posOffset>-288925</wp:posOffset>
              </wp:positionV>
              <wp:extent cx="7585710" cy="902970"/>
              <wp:effectExtent l="0" t="0" r="0" b="0"/>
              <wp:wrapNone/>
              <wp:docPr id="15" name="Rechthoek 15"/>
              <wp:cNvGraphicFramePr/>
              <a:graphic xmlns:a="http://schemas.openxmlformats.org/drawingml/2006/main">
                <a:graphicData uri="http://schemas.microsoft.com/office/word/2010/wordprocessingShape">
                  <wps:wsp>
                    <wps:cNvSpPr/>
                    <wps:spPr>
                      <a:xfrm>
                        <a:off x="0" y="0"/>
                        <a:ext cx="7585710" cy="902970"/>
                      </a:xfrm>
                      <a:prstGeom prst="rect">
                        <a:avLst/>
                      </a:prstGeom>
                      <a:solidFill>
                        <a:srgbClr val="F9A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53DF14D2">
            <v:rect id="Rechthoek 15" style="position:absolute;margin-left:-70.55pt;margin-top:-22.75pt;width:597.3pt;height:7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9af00" stroked="f" strokeweight="1pt" w14:anchorId="60A62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">
              <w10:wrap anchorx="margin"/>
            </v:rect>
          </w:pict>
        </mc:Fallback>
      </mc:AlternateContent>
    </w:r>
    <w:r w:rsidR="00D87963">
      <w:rPr>
        <w:noProof/>
      </w:rPr>
      <w:drawing>
        <wp:anchor distT="0" distB="0" distL="114300" distR="114300" simplePos="0" relativeHeight="251659264" behindDoc="1" locked="0" layoutInCell="1" allowOverlap="1" wp14:anchorId="46096AC5" wp14:editId="05CBB71B">
          <wp:simplePos x="0" y="0"/>
          <wp:positionH relativeFrom="margin">
            <wp:align>center</wp:align>
          </wp:positionH>
          <wp:positionV relativeFrom="paragraph">
            <wp:posOffset>-186055</wp:posOffset>
          </wp:positionV>
          <wp:extent cx="689610" cy="640715"/>
          <wp:effectExtent l="0" t="0" r="0" b="6985"/>
          <wp:wrapTight wrapText="bothSides">
            <wp:wrapPolygon edited="0">
              <wp:start x="0" y="0"/>
              <wp:lineTo x="0" y="21193"/>
              <wp:lineTo x="20884" y="21193"/>
              <wp:lineTo x="20884" y="0"/>
              <wp:lineTo x="0" y="0"/>
            </wp:wrapPolygon>
          </wp:wrapTight>
          <wp:docPr id="1" name="Afbeelding 1">
            <a:extLst xmlns:a="http://schemas.openxmlformats.org/drawingml/2006/main">
              <a:ext uri="{FF2B5EF4-FFF2-40B4-BE49-F238E27FC236}">
                <a16:creationId xmlns:a16="http://schemas.microsoft.com/office/drawing/2014/main" id="{7BF72EC4-5131-7A26-61EC-73D455CC7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a:extLst>
                      <a:ext uri="{FF2B5EF4-FFF2-40B4-BE49-F238E27FC236}">
                        <a16:creationId xmlns:a16="http://schemas.microsoft.com/office/drawing/2014/main" id="{7BF72EC4-5131-7A26-61EC-73D455CC7B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9610" cy="640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E277" w14:textId="77777777" w:rsidR="00A77A3C" w:rsidRDefault="00A77A3C" w:rsidP="00B436F2">
      <w:r>
        <w:separator/>
      </w:r>
    </w:p>
  </w:footnote>
  <w:footnote w:type="continuationSeparator" w:id="0">
    <w:p w14:paraId="34F5A314" w14:textId="77777777" w:rsidR="00A77A3C" w:rsidRDefault="00A77A3C" w:rsidP="00B4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B64B" w14:textId="4685EE53" w:rsidR="00D7017D" w:rsidRDefault="00D7017D" w:rsidP="00D7017D">
    <w:pPr>
      <w:pStyle w:val="Koptekst"/>
      <w:jc w:val="center"/>
      <w:rPr>
        <w:b/>
        <w:bCs/>
        <w:color w:val="A6A6A6" w:themeColor="background1" w:themeShade="A6"/>
      </w:rPr>
    </w:pPr>
    <w:r w:rsidRPr="004D70F9">
      <w:rPr>
        <w:noProof/>
      </w:rPr>
      <w:drawing>
        <wp:inline distT="0" distB="0" distL="0" distR="0" wp14:anchorId="46A10993" wp14:editId="08D044BF">
          <wp:extent cx="1189566" cy="4572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9566" cy="457200"/>
                  </a:xfrm>
                  <a:prstGeom prst="rect">
                    <a:avLst/>
                  </a:prstGeom>
                </pic:spPr>
              </pic:pic>
            </a:graphicData>
          </a:graphic>
        </wp:inline>
      </w:drawing>
    </w:r>
  </w:p>
  <w:p w14:paraId="04335AAD" w14:textId="77777777" w:rsidR="00801ABF" w:rsidRDefault="00801ABF" w:rsidP="00D7017D">
    <w:pPr>
      <w:pStyle w:val="Koptekst"/>
      <w:jc w:val="center"/>
      <w:rPr>
        <w:b/>
        <w:bCs/>
        <w:color w:val="A6A6A6" w:themeColor="background1" w:themeShade="A6"/>
      </w:rPr>
    </w:pPr>
  </w:p>
  <w:p w14:paraId="00629DEF" w14:textId="687E841D" w:rsidR="00650744" w:rsidRPr="004368B8" w:rsidRDefault="00650744" w:rsidP="08555356">
    <w:pPr>
      <w:pStyle w:val="Koptekst"/>
      <w:jc w:val="center"/>
      <w:rPr>
        <w:b/>
        <w:bCs/>
        <w:color w:val="808080" w:themeColor="text1" w:themeTint="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427"/>
    <w:multiLevelType w:val="hybridMultilevel"/>
    <w:tmpl w:val="F7A054F6"/>
    <w:lvl w:ilvl="0" w:tplc="DD6C2E5C">
      <w:start w:val="1"/>
      <w:numFmt w:val="bullet"/>
      <w:lvlText w:val="•"/>
      <w:lvlJc w:val="left"/>
      <w:pPr>
        <w:tabs>
          <w:tab w:val="num" w:pos="720"/>
        </w:tabs>
        <w:ind w:left="720" w:hanging="360"/>
      </w:pPr>
      <w:rPr>
        <w:rFonts w:ascii="Arial" w:hAnsi="Arial" w:hint="default"/>
      </w:rPr>
    </w:lvl>
    <w:lvl w:ilvl="1" w:tplc="FC2834C0">
      <w:numFmt w:val="bullet"/>
      <w:lvlText w:val="•"/>
      <w:lvlJc w:val="left"/>
      <w:pPr>
        <w:tabs>
          <w:tab w:val="num" w:pos="1440"/>
        </w:tabs>
        <w:ind w:left="1440" w:hanging="360"/>
      </w:pPr>
      <w:rPr>
        <w:rFonts w:ascii="Arial" w:hAnsi="Arial" w:hint="default"/>
      </w:rPr>
    </w:lvl>
    <w:lvl w:ilvl="2" w:tplc="1B76FB3C">
      <w:numFmt w:val="bullet"/>
      <w:lvlText w:val="•"/>
      <w:lvlJc w:val="left"/>
      <w:pPr>
        <w:tabs>
          <w:tab w:val="num" w:pos="2160"/>
        </w:tabs>
        <w:ind w:left="2160" w:hanging="360"/>
      </w:pPr>
      <w:rPr>
        <w:rFonts w:ascii="Arial" w:hAnsi="Arial" w:hint="default"/>
      </w:rPr>
    </w:lvl>
    <w:lvl w:ilvl="3" w:tplc="E2A6BD26" w:tentative="1">
      <w:start w:val="1"/>
      <w:numFmt w:val="bullet"/>
      <w:lvlText w:val="•"/>
      <w:lvlJc w:val="left"/>
      <w:pPr>
        <w:tabs>
          <w:tab w:val="num" w:pos="2880"/>
        </w:tabs>
        <w:ind w:left="2880" w:hanging="360"/>
      </w:pPr>
      <w:rPr>
        <w:rFonts w:ascii="Arial" w:hAnsi="Arial" w:hint="default"/>
      </w:rPr>
    </w:lvl>
    <w:lvl w:ilvl="4" w:tplc="14FC4446" w:tentative="1">
      <w:start w:val="1"/>
      <w:numFmt w:val="bullet"/>
      <w:lvlText w:val="•"/>
      <w:lvlJc w:val="left"/>
      <w:pPr>
        <w:tabs>
          <w:tab w:val="num" w:pos="3600"/>
        </w:tabs>
        <w:ind w:left="3600" w:hanging="360"/>
      </w:pPr>
      <w:rPr>
        <w:rFonts w:ascii="Arial" w:hAnsi="Arial" w:hint="default"/>
      </w:rPr>
    </w:lvl>
    <w:lvl w:ilvl="5" w:tplc="90B885AA" w:tentative="1">
      <w:start w:val="1"/>
      <w:numFmt w:val="bullet"/>
      <w:lvlText w:val="•"/>
      <w:lvlJc w:val="left"/>
      <w:pPr>
        <w:tabs>
          <w:tab w:val="num" w:pos="4320"/>
        </w:tabs>
        <w:ind w:left="4320" w:hanging="360"/>
      </w:pPr>
      <w:rPr>
        <w:rFonts w:ascii="Arial" w:hAnsi="Arial" w:hint="default"/>
      </w:rPr>
    </w:lvl>
    <w:lvl w:ilvl="6" w:tplc="5E70591A" w:tentative="1">
      <w:start w:val="1"/>
      <w:numFmt w:val="bullet"/>
      <w:lvlText w:val="•"/>
      <w:lvlJc w:val="left"/>
      <w:pPr>
        <w:tabs>
          <w:tab w:val="num" w:pos="5040"/>
        </w:tabs>
        <w:ind w:left="5040" w:hanging="360"/>
      </w:pPr>
      <w:rPr>
        <w:rFonts w:ascii="Arial" w:hAnsi="Arial" w:hint="default"/>
      </w:rPr>
    </w:lvl>
    <w:lvl w:ilvl="7" w:tplc="A754C3A0" w:tentative="1">
      <w:start w:val="1"/>
      <w:numFmt w:val="bullet"/>
      <w:lvlText w:val="•"/>
      <w:lvlJc w:val="left"/>
      <w:pPr>
        <w:tabs>
          <w:tab w:val="num" w:pos="5760"/>
        </w:tabs>
        <w:ind w:left="5760" w:hanging="360"/>
      </w:pPr>
      <w:rPr>
        <w:rFonts w:ascii="Arial" w:hAnsi="Arial" w:hint="default"/>
      </w:rPr>
    </w:lvl>
    <w:lvl w:ilvl="8" w:tplc="651C5F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507A8C"/>
    <w:multiLevelType w:val="hybridMultilevel"/>
    <w:tmpl w:val="2578E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E617F1"/>
    <w:multiLevelType w:val="hybridMultilevel"/>
    <w:tmpl w:val="557A7D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8B4C2E"/>
    <w:multiLevelType w:val="hybridMultilevel"/>
    <w:tmpl w:val="C4C09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5F70F5"/>
    <w:multiLevelType w:val="hybridMultilevel"/>
    <w:tmpl w:val="5F72F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786940"/>
    <w:multiLevelType w:val="hybridMultilevel"/>
    <w:tmpl w:val="BC9E817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BFD378F"/>
    <w:multiLevelType w:val="hybridMultilevel"/>
    <w:tmpl w:val="2C58B3E4"/>
    <w:lvl w:ilvl="0" w:tplc="C35E9C9A">
      <w:start w:val="1"/>
      <w:numFmt w:val="bullet"/>
      <w:lvlText w:val="•"/>
      <w:lvlJc w:val="left"/>
      <w:pPr>
        <w:tabs>
          <w:tab w:val="num" w:pos="720"/>
        </w:tabs>
        <w:ind w:left="720" w:hanging="360"/>
      </w:pPr>
      <w:rPr>
        <w:rFonts w:ascii="Arial" w:hAnsi="Arial" w:hint="default"/>
      </w:rPr>
    </w:lvl>
    <w:lvl w:ilvl="1" w:tplc="5C5EE280" w:tentative="1">
      <w:start w:val="1"/>
      <w:numFmt w:val="bullet"/>
      <w:lvlText w:val="•"/>
      <w:lvlJc w:val="left"/>
      <w:pPr>
        <w:tabs>
          <w:tab w:val="num" w:pos="1440"/>
        </w:tabs>
        <w:ind w:left="1440" w:hanging="360"/>
      </w:pPr>
      <w:rPr>
        <w:rFonts w:ascii="Arial" w:hAnsi="Arial" w:hint="default"/>
      </w:rPr>
    </w:lvl>
    <w:lvl w:ilvl="2" w:tplc="F5A2FACC" w:tentative="1">
      <w:start w:val="1"/>
      <w:numFmt w:val="bullet"/>
      <w:lvlText w:val="•"/>
      <w:lvlJc w:val="left"/>
      <w:pPr>
        <w:tabs>
          <w:tab w:val="num" w:pos="2160"/>
        </w:tabs>
        <w:ind w:left="2160" w:hanging="360"/>
      </w:pPr>
      <w:rPr>
        <w:rFonts w:ascii="Arial" w:hAnsi="Arial" w:hint="default"/>
      </w:rPr>
    </w:lvl>
    <w:lvl w:ilvl="3" w:tplc="105AD35E" w:tentative="1">
      <w:start w:val="1"/>
      <w:numFmt w:val="bullet"/>
      <w:lvlText w:val="•"/>
      <w:lvlJc w:val="left"/>
      <w:pPr>
        <w:tabs>
          <w:tab w:val="num" w:pos="2880"/>
        </w:tabs>
        <w:ind w:left="2880" w:hanging="360"/>
      </w:pPr>
      <w:rPr>
        <w:rFonts w:ascii="Arial" w:hAnsi="Arial" w:hint="default"/>
      </w:rPr>
    </w:lvl>
    <w:lvl w:ilvl="4" w:tplc="56F09F80" w:tentative="1">
      <w:start w:val="1"/>
      <w:numFmt w:val="bullet"/>
      <w:lvlText w:val="•"/>
      <w:lvlJc w:val="left"/>
      <w:pPr>
        <w:tabs>
          <w:tab w:val="num" w:pos="3600"/>
        </w:tabs>
        <w:ind w:left="3600" w:hanging="360"/>
      </w:pPr>
      <w:rPr>
        <w:rFonts w:ascii="Arial" w:hAnsi="Arial" w:hint="default"/>
      </w:rPr>
    </w:lvl>
    <w:lvl w:ilvl="5" w:tplc="69D0B09A" w:tentative="1">
      <w:start w:val="1"/>
      <w:numFmt w:val="bullet"/>
      <w:lvlText w:val="•"/>
      <w:lvlJc w:val="left"/>
      <w:pPr>
        <w:tabs>
          <w:tab w:val="num" w:pos="4320"/>
        </w:tabs>
        <w:ind w:left="4320" w:hanging="360"/>
      </w:pPr>
      <w:rPr>
        <w:rFonts w:ascii="Arial" w:hAnsi="Arial" w:hint="default"/>
      </w:rPr>
    </w:lvl>
    <w:lvl w:ilvl="6" w:tplc="725CC5D2" w:tentative="1">
      <w:start w:val="1"/>
      <w:numFmt w:val="bullet"/>
      <w:lvlText w:val="•"/>
      <w:lvlJc w:val="left"/>
      <w:pPr>
        <w:tabs>
          <w:tab w:val="num" w:pos="5040"/>
        </w:tabs>
        <w:ind w:left="5040" w:hanging="360"/>
      </w:pPr>
      <w:rPr>
        <w:rFonts w:ascii="Arial" w:hAnsi="Arial" w:hint="default"/>
      </w:rPr>
    </w:lvl>
    <w:lvl w:ilvl="7" w:tplc="9A788F80" w:tentative="1">
      <w:start w:val="1"/>
      <w:numFmt w:val="bullet"/>
      <w:lvlText w:val="•"/>
      <w:lvlJc w:val="left"/>
      <w:pPr>
        <w:tabs>
          <w:tab w:val="num" w:pos="5760"/>
        </w:tabs>
        <w:ind w:left="5760" w:hanging="360"/>
      </w:pPr>
      <w:rPr>
        <w:rFonts w:ascii="Arial" w:hAnsi="Arial" w:hint="default"/>
      </w:rPr>
    </w:lvl>
    <w:lvl w:ilvl="8" w:tplc="9D5A31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2807C9"/>
    <w:multiLevelType w:val="hybridMultilevel"/>
    <w:tmpl w:val="ABD24B0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3BBE220D"/>
    <w:multiLevelType w:val="hybridMultilevel"/>
    <w:tmpl w:val="1C9E4B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AED363C"/>
    <w:multiLevelType w:val="hybridMultilevel"/>
    <w:tmpl w:val="F7E23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E60142"/>
    <w:multiLevelType w:val="hybridMultilevel"/>
    <w:tmpl w:val="D840C2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1D0D2F"/>
    <w:multiLevelType w:val="hybridMultilevel"/>
    <w:tmpl w:val="DD127D7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2" w15:restartNumberingAfterBreak="0">
    <w:nsid w:val="4EDD46A7"/>
    <w:multiLevelType w:val="hybridMultilevel"/>
    <w:tmpl w:val="8D6E204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59ED3194"/>
    <w:multiLevelType w:val="hybridMultilevel"/>
    <w:tmpl w:val="007AC3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D33366B"/>
    <w:multiLevelType w:val="hybridMultilevel"/>
    <w:tmpl w:val="213679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703318"/>
    <w:multiLevelType w:val="hybridMultilevel"/>
    <w:tmpl w:val="D07A61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1D751C"/>
    <w:multiLevelType w:val="hybridMultilevel"/>
    <w:tmpl w:val="FA368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4B08BD"/>
    <w:multiLevelType w:val="hybridMultilevel"/>
    <w:tmpl w:val="ED300C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E701CA"/>
    <w:multiLevelType w:val="hybridMultilevel"/>
    <w:tmpl w:val="BACE01E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319462954">
    <w:abstractNumId w:val="6"/>
  </w:num>
  <w:num w:numId="2" w16cid:durableId="100806265">
    <w:abstractNumId w:val="0"/>
  </w:num>
  <w:num w:numId="3" w16cid:durableId="993097424">
    <w:abstractNumId w:val="11"/>
  </w:num>
  <w:num w:numId="4" w16cid:durableId="1762876766">
    <w:abstractNumId w:val="4"/>
  </w:num>
  <w:num w:numId="5" w16cid:durableId="1727410609">
    <w:abstractNumId w:val="1"/>
  </w:num>
  <w:num w:numId="6" w16cid:durableId="109707795">
    <w:abstractNumId w:val="7"/>
  </w:num>
  <w:num w:numId="7" w16cid:durableId="527838853">
    <w:abstractNumId w:val="15"/>
  </w:num>
  <w:num w:numId="8" w16cid:durableId="1278217951">
    <w:abstractNumId w:val="8"/>
  </w:num>
  <w:num w:numId="9" w16cid:durableId="1526097013">
    <w:abstractNumId w:val="2"/>
  </w:num>
  <w:num w:numId="10" w16cid:durableId="1763721024">
    <w:abstractNumId w:val="9"/>
  </w:num>
  <w:num w:numId="11" w16cid:durableId="2029603806">
    <w:abstractNumId w:val="10"/>
  </w:num>
  <w:num w:numId="12" w16cid:durableId="840239834">
    <w:abstractNumId w:val="13"/>
  </w:num>
  <w:num w:numId="13" w16cid:durableId="1512797764">
    <w:abstractNumId w:val="17"/>
  </w:num>
  <w:num w:numId="14" w16cid:durableId="129593753">
    <w:abstractNumId w:val="5"/>
  </w:num>
  <w:num w:numId="15" w16cid:durableId="1308586216">
    <w:abstractNumId w:val="3"/>
  </w:num>
  <w:num w:numId="16" w16cid:durableId="2059011598">
    <w:abstractNumId w:val="16"/>
  </w:num>
  <w:num w:numId="17" w16cid:durableId="361134985">
    <w:abstractNumId w:val="18"/>
  </w:num>
  <w:num w:numId="18" w16cid:durableId="45181420">
    <w:abstractNumId w:val="12"/>
  </w:num>
  <w:num w:numId="19" w16cid:durableId="169719025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4"/>
    <w:rsid w:val="00010804"/>
    <w:rsid w:val="00030B92"/>
    <w:rsid w:val="00036DD5"/>
    <w:rsid w:val="0004551D"/>
    <w:rsid w:val="00050C00"/>
    <w:rsid w:val="00053F61"/>
    <w:rsid w:val="00061852"/>
    <w:rsid w:val="00062AC3"/>
    <w:rsid w:val="00081912"/>
    <w:rsid w:val="00084D72"/>
    <w:rsid w:val="000A461A"/>
    <w:rsid w:val="000A53CA"/>
    <w:rsid w:val="000C6A60"/>
    <w:rsid w:val="000D0C2B"/>
    <w:rsid w:val="000E7E19"/>
    <w:rsid w:val="001003B1"/>
    <w:rsid w:val="00100AA6"/>
    <w:rsid w:val="00104405"/>
    <w:rsid w:val="0013001B"/>
    <w:rsid w:val="001430D2"/>
    <w:rsid w:val="00157CA6"/>
    <w:rsid w:val="001624DE"/>
    <w:rsid w:val="001702CB"/>
    <w:rsid w:val="00174415"/>
    <w:rsid w:val="00177213"/>
    <w:rsid w:val="001845CB"/>
    <w:rsid w:val="0018475D"/>
    <w:rsid w:val="00187269"/>
    <w:rsid w:val="001943F6"/>
    <w:rsid w:val="00195A7F"/>
    <w:rsid w:val="001A365F"/>
    <w:rsid w:val="001A4AFB"/>
    <w:rsid w:val="001B584D"/>
    <w:rsid w:val="001B6813"/>
    <w:rsid w:val="001B7E7F"/>
    <w:rsid w:val="001C141C"/>
    <w:rsid w:val="001D21DA"/>
    <w:rsid w:val="001D2EC0"/>
    <w:rsid w:val="001F300B"/>
    <w:rsid w:val="00203393"/>
    <w:rsid w:val="00220920"/>
    <w:rsid w:val="00231BF9"/>
    <w:rsid w:val="00252A2A"/>
    <w:rsid w:val="00255327"/>
    <w:rsid w:val="00260C0A"/>
    <w:rsid w:val="00261204"/>
    <w:rsid w:val="00277CB6"/>
    <w:rsid w:val="00281884"/>
    <w:rsid w:val="002857B5"/>
    <w:rsid w:val="00291C09"/>
    <w:rsid w:val="002A0244"/>
    <w:rsid w:val="002A61C1"/>
    <w:rsid w:val="002A6883"/>
    <w:rsid w:val="002B7278"/>
    <w:rsid w:val="002E1FFB"/>
    <w:rsid w:val="002E5C3D"/>
    <w:rsid w:val="002F4BB9"/>
    <w:rsid w:val="003106B9"/>
    <w:rsid w:val="003269C0"/>
    <w:rsid w:val="003400E1"/>
    <w:rsid w:val="00340B67"/>
    <w:rsid w:val="0034410E"/>
    <w:rsid w:val="00344738"/>
    <w:rsid w:val="003453F8"/>
    <w:rsid w:val="00362543"/>
    <w:rsid w:val="00381E91"/>
    <w:rsid w:val="003827BB"/>
    <w:rsid w:val="003864F0"/>
    <w:rsid w:val="003C01CD"/>
    <w:rsid w:val="003C5413"/>
    <w:rsid w:val="003E0C99"/>
    <w:rsid w:val="003E4249"/>
    <w:rsid w:val="003F5F14"/>
    <w:rsid w:val="004071FA"/>
    <w:rsid w:val="004142D9"/>
    <w:rsid w:val="004233E8"/>
    <w:rsid w:val="00427A6B"/>
    <w:rsid w:val="0043190F"/>
    <w:rsid w:val="004368B8"/>
    <w:rsid w:val="0047110D"/>
    <w:rsid w:val="004740AB"/>
    <w:rsid w:val="00476F3C"/>
    <w:rsid w:val="00477157"/>
    <w:rsid w:val="00477E81"/>
    <w:rsid w:val="00480299"/>
    <w:rsid w:val="00491BD8"/>
    <w:rsid w:val="00492C90"/>
    <w:rsid w:val="00495CD8"/>
    <w:rsid w:val="004A7595"/>
    <w:rsid w:val="004D0027"/>
    <w:rsid w:val="004F2A6C"/>
    <w:rsid w:val="0050264D"/>
    <w:rsid w:val="0051428B"/>
    <w:rsid w:val="00531A4D"/>
    <w:rsid w:val="005331FF"/>
    <w:rsid w:val="0054177C"/>
    <w:rsid w:val="0054772A"/>
    <w:rsid w:val="005539C2"/>
    <w:rsid w:val="00582AC8"/>
    <w:rsid w:val="005844CD"/>
    <w:rsid w:val="0059279E"/>
    <w:rsid w:val="005C1241"/>
    <w:rsid w:val="005E3D1A"/>
    <w:rsid w:val="0060002F"/>
    <w:rsid w:val="006175B1"/>
    <w:rsid w:val="00626575"/>
    <w:rsid w:val="006335FD"/>
    <w:rsid w:val="00640159"/>
    <w:rsid w:val="00650744"/>
    <w:rsid w:val="00667533"/>
    <w:rsid w:val="0067635B"/>
    <w:rsid w:val="00683062"/>
    <w:rsid w:val="00690484"/>
    <w:rsid w:val="006921DE"/>
    <w:rsid w:val="00692EAC"/>
    <w:rsid w:val="00696C4E"/>
    <w:rsid w:val="006A2120"/>
    <w:rsid w:val="006A5D1C"/>
    <w:rsid w:val="006B15E4"/>
    <w:rsid w:val="006B3D88"/>
    <w:rsid w:val="006C1886"/>
    <w:rsid w:val="006D71DA"/>
    <w:rsid w:val="006E7E6C"/>
    <w:rsid w:val="006F43CE"/>
    <w:rsid w:val="00700CF8"/>
    <w:rsid w:val="007077DC"/>
    <w:rsid w:val="0071302D"/>
    <w:rsid w:val="007233BB"/>
    <w:rsid w:val="00760F44"/>
    <w:rsid w:val="0077603D"/>
    <w:rsid w:val="007773E8"/>
    <w:rsid w:val="0078594F"/>
    <w:rsid w:val="0079462A"/>
    <w:rsid w:val="007B10E2"/>
    <w:rsid w:val="007B1D1F"/>
    <w:rsid w:val="007C01E4"/>
    <w:rsid w:val="007C1B76"/>
    <w:rsid w:val="007C3BBF"/>
    <w:rsid w:val="007C7022"/>
    <w:rsid w:val="007D5A64"/>
    <w:rsid w:val="007E4E2E"/>
    <w:rsid w:val="007E60F3"/>
    <w:rsid w:val="00801ABF"/>
    <w:rsid w:val="008039D9"/>
    <w:rsid w:val="00820F9B"/>
    <w:rsid w:val="00826E48"/>
    <w:rsid w:val="00835CC9"/>
    <w:rsid w:val="00841128"/>
    <w:rsid w:val="00843D9B"/>
    <w:rsid w:val="00863368"/>
    <w:rsid w:val="008702B3"/>
    <w:rsid w:val="008A52C8"/>
    <w:rsid w:val="008D1B2F"/>
    <w:rsid w:val="008D637B"/>
    <w:rsid w:val="008D744B"/>
    <w:rsid w:val="008F3E60"/>
    <w:rsid w:val="008F3E79"/>
    <w:rsid w:val="008F7062"/>
    <w:rsid w:val="009031CE"/>
    <w:rsid w:val="00905182"/>
    <w:rsid w:val="00907FCB"/>
    <w:rsid w:val="00912191"/>
    <w:rsid w:val="00924A67"/>
    <w:rsid w:val="009365DF"/>
    <w:rsid w:val="00943519"/>
    <w:rsid w:val="00981B99"/>
    <w:rsid w:val="0099175A"/>
    <w:rsid w:val="0099279C"/>
    <w:rsid w:val="009B7F6A"/>
    <w:rsid w:val="009C1428"/>
    <w:rsid w:val="009C41CA"/>
    <w:rsid w:val="009D08E8"/>
    <w:rsid w:val="009D092C"/>
    <w:rsid w:val="009F1B6B"/>
    <w:rsid w:val="00A00C01"/>
    <w:rsid w:val="00A12CBD"/>
    <w:rsid w:val="00A23D7A"/>
    <w:rsid w:val="00A24655"/>
    <w:rsid w:val="00A2774A"/>
    <w:rsid w:val="00A3421D"/>
    <w:rsid w:val="00A77A3C"/>
    <w:rsid w:val="00A835E0"/>
    <w:rsid w:val="00A87E43"/>
    <w:rsid w:val="00A94761"/>
    <w:rsid w:val="00AA70CF"/>
    <w:rsid w:val="00AB3A07"/>
    <w:rsid w:val="00AB6874"/>
    <w:rsid w:val="00AC5DC0"/>
    <w:rsid w:val="00AD3F21"/>
    <w:rsid w:val="00B03D9C"/>
    <w:rsid w:val="00B16939"/>
    <w:rsid w:val="00B20835"/>
    <w:rsid w:val="00B249A5"/>
    <w:rsid w:val="00B264AA"/>
    <w:rsid w:val="00B36384"/>
    <w:rsid w:val="00B3794F"/>
    <w:rsid w:val="00B436F2"/>
    <w:rsid w:val="00B508D3"/>
    <w:rsid w:val="00B72072"/>
    <w:rsid w:val="00B83806"/>
    <w:rsid w:val="00B92831"/>
    <w:rsid w:val="00B948B3"/>
    <w:rsid w:val="00BA3B72"/>
    <w:rsid w:val="00BA3DF2"/>
    <w:rsid w:val="00BB0D73"/>
    <w:rsid w:val="00BB4BE0"/>
    <w:rsid w:val="00BC021A"/>
    <w:rsid w:val="00BC2C8F"/>
    <w:rsid w:val="00BC45AB"/>
    <w:rsid w:val="00BC7095"/>
    <w:rsid w:val="00BD2191"/>
    <w:rsid w:val="00BF19EB"/>
    <w:rsid w:val="00C033FF"/>
    <w:rsid w:val="00C1236B"/>
    <w:rsid w:val="00C22BD7"/>
    <w:rsid w:val="00C45647"/>
    <w:rsid w:val="00C5531E"/>
    <w:rsid w:val="00C5706B"/>
    <w:rsid w:val="00C66DE7"/>
    <w:rsid w:val="00C8107C"/>
    <w:rsid w:val="00C903AD"/>
    <w:rsid w:val="00CA418B"/>
    <w:rsid w:val="00CA65DC"/>
    <w:rsid w:val="00CB7914"/>
    <w:rsid w:val="00CC67DE"/>
    <w:rsid w:val="00CF145D"/>
    <w:rsid w:val="00D0065D"/>
    <w:rsid w:val="00D01847"/>
    <w:rsid w:val="00D102B1"/>
    <w:rsid w:val="00D153F2"/>
    <w:rsid w:val="00D24EE1"/>
    <w:rsid w:val="00D33F80"/>
    <w:rsid w:val="00D374B6"/>
    <w:rsid w:val="00D41208"/>
    <w:rsid w:val="00D42DA5"/>
    <w:rsid w:val="00D43BC9"/>
    <w:rsid w:val="00D46E67"/>
    <w:rsid w:val="00D47A2A"/>
    <w:rsid w:val="00D5128C"/>
    <w:rsid w:val="00D51C1A"/>
    <w:rsid w:val="00D52148"/>
    <w:rsid w:val="00D5563A"/>
    <w:rsid w:val="00D61330"/>
    <w:rsid w:val="00D7017D"/>
    <w:rsid w:val="00D71F6C"/>
    <w:rsid w:val="00D758E5"/>
    <w:rsid w:val="00D83F4E"/>
    <w:rsid w:val="00D87963"/>
    <w:rsid w:val="00D94DEB"/>
    <w:rsid w:val="00DA339B"/>
    <w:rsid w:val="00DB2DA9"/>
    <w:rsid w:val="00DD470A"/>
    <w:rsid w:val="00DD64FB"/>
    <w:rsid w:val="00DE4F4E"/>
    <w:rsid w:val="00E01AEE"/>
    <w:rsid w:val="00E1371B"/>
    <w:rsid w:val="00E17F72"/>
    <w:rsid w:val="00E21913"/>
    <w:rsid w:val="00E30558"/>
    <w:rsid w:val="00E355E5"/>
    <w:rsid w:val="00E35A69"/>
    <w:rsid w:val="00E63129"/>
    <w:rsid w:val="00E706C3"/>
    <w:rsid w:val="00E73CFD"/>
    <w:rsid w:val="00E73F5D"/>
    <w:rsid w:val="00E77CD7"/>
    <w:rsid w:val="00EA3411"/>
    <w:rsid w:val="00EA3893"/>
    <w:rsid w:val="00EB0F21"/>
    <w:rsid w:val="00EB604F"/>
    <w:rsid w:val="00F0047E"/>
    <w:rsid w:val="00F063DD"/>
    <w:rsid w:val="00F06736"/>
    <w:rsid w:val="00F17DEE"/>
    <w:rsid w:val="00F40722"/>
    <w:rsid w:val="00F50038"/>
    <w:rsid w:val="00F91DBE"/>
    <w:rsid w:val="00F922B1"/>
    <w:rsid w:val="00FA3203"/>
    <w:rsid w:val="00FA5B08"/>
    <w:rsid w:val="00FC2CA6"/>
    <w:rsid w:val="00FC7869"/>
    <w:rsid w:val="00FE0DF2"/>
    <w:rsid w:val="00FE51F5"/>
    <w:rsid w:val="00FE77DB"/>
    <w:rsid w:val="08555356"/>
    <w:rsid w:val="1F695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9BDDCB"/>
  <w15:docId w15:val="{A5FA15CF-535B-4858-ACF3-9EE3E90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2DA5"/>
    <w:rPr>
      <w:rFonts w:ascii="Calibri" w:eastAsiaTheme="minorHAnsi" w:hAnsi="Calibri" w:cs="Calibri"/>
      <w:sz w:val="22"/>
      <w:szCs w:val="22"/>
      <w:lang w:eastAsia="en-US"/>
    </w:rPr>
  </w:style>
  <w:style w:type="paragraph" w:styleId="Kop1">
    <w:name w:val="heading 1"/>
    <w:basedOn w:val="Standaard"/>
    <w:next w:val="Standaard"/>
    <w:link w:val="Kop1Char"/>
    <w:qFormat/>
    <w:rsid w:val="00FE77DB"/>
    <w:pPr>
      <w:keepNext/>
      <w:keepLines/>
      <w:spacing w:before="240"/>
      <w:outlineLvl w:val="0"/>
    </w:pPr>
    <w:rPr>
      <w:color w:val="365F91"/>
      <w:sz w:val="32"/>
      <w:szCs w:val="32"/>
    </w:rPr>
  </w:style>
  <w:style w:type="paragraph" w:styleId="Kop3">
    <w:name w:val="heading 3"/>
    <w:basedOn w:val="Standaard"/>
    <w:next w:val="Standaard"/>
    <w:link w:val="Kop3Char"/>
    <w:semiHidden/>
    <w:unhideWhenUsed/>
    <w:qFormat/>
    <w:rsid w:val="0026120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uiPriority w:val="22"/>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rsid w:val="00FE77DB"/>
    <w:rPr>
      <w:rFonts w:ascii="Verdana" w:eastAsia="Times New Roman" w:hAnsi="Verdana" w:cs="Times New Roman"/>
      <w:color w:val="365F91"/>
      <w:sz w:val="32"/>
      <w:szCs w:val="32"/>
      <w:lang w:eastAsia="en-US"/>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iPriority w:val="99"/>
    <w:unhideWhenUsed/>
    <w:rsid w:val="00B436F2"/>
    <w:pPr>
      <w:tabs>
        <w:tab w:val="center" w:pos="4536"/>
        <w:tab w:val="right" w:pos="9072"/>
      </w:tabs>
    </w:pPr>
  </w:style>
  <w:style w:type="character" w:customStyle="1" w:styleId="KoptekstChar">
    <w:name w:val="Koptekst Char"/>
    <w:basedOn w:val="Standaardalinea-lettertype"/>
    <w:link w:val="Koptekst"/>
    <w:uiPriority w:val="99"/>
    <w:rsid w:val="00B436F2"/>
    <w:rPr>
      <w:rFonts w:ascii="Verdana" w:hAnsi="Verdana"/>
      <w:sz w:val="18"/>
      <w:lang w:eastAsia="en-US"/>
    </w:rPr>
  </w:style>
  <w:style w:type="paragraph" w:styleId="Voettekst">
    <w:name w:val="footer"/>
    <w:basedOn w:val="Standaard"/>
    <w:link w:val="VoettekstChar"/>
    <w:uiPriority w:val="99"/>
    <w:unhideWhenUsed/>
    <w:rsid w:val="00B436F2"/>
    <w:pPr>
      <w:tabs>
        <w:tab w:val="center" w:pos="4536"/>
        <w:tab w:val="right" w:pos="9072"/>
      </w:tabs>
    </w:pPr>
  </w:style>
  <w:style w:type="character" w:customStyle="1" w:styleId="VoettekstChar">
    <w:name w:val="Voettekst Char"/>
    <w:basedOn w:val="Standaardalinea-lettertype"/>
    <w:link w:val="Voettekst"/>
    <w:uiPriority w:val="99"/>
    <w:rsid w:val="00B436F2"/>
    <w:rPr>
      <w:rFonts w:ascii="Verdana" w:hAnsi="Verdana"/>
      <w:sz w:val="18"/>
      <w:lang w:eastAsia="en-US"/>
    </w:rPr>
  </w:style>
  <w:style w:type="character" w:styleId="Hyperlink">
    <w:name w:val="Hyperlink"/>
    <w:basedOn w:val="Standaardalinea-lettertype"/>
    <w:unhideWhenUsed/>
    <w:rsid w:val="003C01CD"/>
    <w:rPr>
      <w:color w:val="0563C1" w:themeColor="hyperlink"/>
      <w:u w:val="single"/>
    </w:rPr>
  </w:style>
  <w:style w:type="character" w:styleId="Onopgelostemelding">
    <w:name w:val="Unresolved Mention"/>
    <w:basedOn w:val="Standaardalinea-lettertype"/>
    <w:uiPriority w:val="99"/>
    <w:semiHidden/>
    <w:unhideWhenUsed/>
    <w:rsid w:val="003C01CD"/>
    <w:rPr>
      <w:color w:val="605E5C"/>
      <w:shd w:val="clear" w:color="auto" w:fill="E1DFDD"/>
    </w:rPr>
  </w:style>
  <w:style w:type="paragraph" w:styleId="Revisie">
    <w:name w:val="Revision"/>
    <w:hidden/>
    <w:uiPriority w:val="99"/>
    <w:semiHidden/>
    <w:rsid w:val="003C01CD"/>
    <w:rPr>
      <w:rFonts w:ascii="Verdana" w:hAnsi="Verdana"/>
      <w:sz w:val="18"/>
      <w:lang w:eastAsia="en-US"/>
    </w:rPr>
  </w:style>
  <w:style w:type="character" w:styleId="Verwijzingopmerking">
    <w:name w:val="annotation reference"/>
    <w:basedOn w:val="Standaardalinea-lettertype"/>
    <w:semiHidden/>
    <w:unhideWhenUsed/>
    <w:rsid w:val="003C01CD"/>
    <w:rPr>
      <w:sz w:val="16"/>
      <w:szCs w:val="16"/>
    </w:rPr>
  </w:style>
  <w:style w:type="paragraph" w:styleId="Tekstopmerking">
    <w:name w:val="annotation text"/>
    <w:basedOn w:val="Standaard"/>
    <w:link w:val="TekstopmerkingChar"/>
    <w:unhideWhenUsed/>
    <w:rsid w:val="003C01CD"/>
    <w:rPr>
      <w:sz w:val="20"/>
    </w:rPr>
  </w:style>
  <w:style w:type="character" w:customStyle="1" w:styleId="TekstopmerkingChar">
    <w:name w:val="Tekst opmerking Char"/>
    <w:basedOn w:val="Standaardalinea-lettertype"/>
    <w:link w:val="Tekstopmerking"/>
    <w:rsid w:val="003C01CD"/>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3C01CD"/>
    <w:rPr>
      <w:b/>
      <w:bCs/>
    </w:rPr>
  </w:style>
  <w:style w:type="character" w:customStyle="1" w:styleId="OnderwerpvanopmerkingChar">
    <w:name w:val="Onderwerp van opmerking Char"/>
    <w:basedOn w:val="TekstopmerkingChar"/>
    <w:link w:val="Onderwerpvanopmerking"/>
    <w:semiHidden/>
    <w:rsid w:val="003C01CD"/>
    <w:rPr>
      <w:rFonts w:ascii="Verdana" w:hAnsi="Verdana"/>
      <w:b/>
      <w:bCs/>
      <w:lang w:eastAsia="en-US"/>
    </w:rPr>
  </w:style>
  <w:style w:type="paragraph" w:styleId="Eindnoottekst">
    <w:name w:val="endnote text"/>
    <w:basedOn w:val="Standaard"/>
    <w:link w:val="EindnoottekstChar"/>
    <w:semiHidden/>
    <w:unhideWhenUsed/>
    <w:rsid w:val="0013001B"/>
    <w:rPr>
      <w:sz w:val="20"/>
      <w:szCs w:val="20"/>
    </w:rPr>
  </w:style>
  <w:style w:type="character" w:customStyle="1" w:styleId="EindnoottekstChar">
    <w:name w:val="Eindnoottekst Char"/>
    <w:basedOn w:val="Standaardalinea-lettertype"/>
    <w:link w:val="Eindnoottekst"/>
    <w:semiHidden/>
    <w:rsid w:val="0013001B"/>
    <w:rPr>
      <w:rFonts w:ascii="Calibri" w:eastAsiaTheme="minorHAnsi" w:hAnsi="Calibri" w:cs="Calibri"/>
      <w:lang w:eastAsia="en-US"/>
    </w:rPr>
  </w:style>
  <w:style w:type="character" w:styleId="Eindnootmarkering">
    <w:name w:val="endnote reference"/>
    <w:basedOn w:val="Standaardalinea-lettertype"/>
    <w:semiHidden/>
    <w:unhideWhenUsed/>
    <w:rsid w:val="0013001B"/>
    <w:rPr>
      <w:vertAlign w:val="superscript"/>
    </w:rPr>
  </w:style>
  <w:style w:type="paragraph" w:styleId="Normaalweb">
    <w:name w:val="Normal (Web)"/>
    <w:basedOn w:val="Standaard"/>
    <w:uiPriority w:val="99"/>
    <w:semiHidden/>
    <w:unhideWhenUsed/>
    <w:rsid w:val="0013001B"/>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unhideWhenUsed/>
    <w:rsid w:val="001C141C"/>
    <w:rPr>
      <w:sz w:val="20"/>
      <w:szCs w:val="20"/>
    </w:rPr>
  </w:style>
  <w:style w:type="character" w:customStyle="1" w:styleId="VoetnoottekstChar">
    <w:name w:val="Voetnoottekst Char"/>
    <w:basedOn w:val="Standaardalinea-lettertype"/>
    <w:link w:val="Voetnoottekst"/>
    <w:semiHidden/>
    <w:rsid w:val="001C141C"/>
    <w:rPr>
      <w:rFonts w:ascii="Calibri" w:eastAsiaTheme="minorHAnsi" w:hAnsi="Calibri" w:cs="Calibri"/>
      <w:lang w:eastAsia="en-US"/>
    </w:rPr>
  </w:style>
  <w:style w:type="character" w:styleId="Voetnootmarkering">
    <w:name w:val="footnote reference"/>
    <w:basedOn w:val="Standaardalinea-lettertype"/>
    <w:semiHidden/>
    <w:unhideWhenUsed/>
    <w:rsid w:val="001C141C"/>
    <w:rPr>
      <w:vertAlign w:val="superscript"/>
    </w:rPr>
  </w:style>
  <w:style w:type="character" w:customStyle="1" w:styleId="visually-hidden">
    <w:name w:val="visually-hidden"/>
    <w:basedOn w:val="Standaardalinea-lettertype"/>
    <w:rsid w:val="00AC5DC0"/>
  </w:style>
  <w:style w:type="paragraph" w:styleId="Bijschrift">
    <w:name w:val="caption"/>
    <w:basedOn w:val="Standaard"/>
    <w:next w:val="Standaard"/>
    <w:unhideWhenUsed/>
    <w:qFormat/>
    <w:rsid w:val="00650744"/>
    <w:pPr>
      <w:spacing w:after="200"/>
    </w:pPr>
    <w:rPr>
      <w:i/>
      <w:iCs/>
      <w:color w:val="44546A" w:themeColor="text2"/>
      <w:sz w:val="18"/>
      <w:szCs w:val="18"/>
    </w:rPr>
  </w:style>
  <w:style w:type="character" w:styleId="GevolgdeHyperlink">
    <w:name w:val="FollowedHyperlink"/>
    <w:basedOn w:val="Standaardalinea-lettertype"/>
    <w:semiHidden/>
    <w:unhideWhenUsed/>
    <w:rsid w:val="00104405"/>
    <w:rPr>
      <w:color w:val="954F72" w:themeColor="followedHyperlink"/>
      <w:u w:val="single"/>
    </w:rPr>
  </w:style>
  <w:style w:type="table" w:styleId="Tabelraster">
    <w:name w:val="Table Grid"/>
    <w:basedOn w:val="Standaardtabel"/>
    <w:rsid w:val="00C55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semiHidden/>
    <w:rsid w:val="00261204"/>
    <w:rPr>
      <w:rFonts w:asciiTheme="majorHAnsi" w:eastAsiaTheme="majorEastAsia" w:hAnsiTheme="majorHAnsi" w:cstheme="majorBidi"/>
      <w:color w:val="1F3763" w:themeColor="accent1" w:themeShade="7F"/>
      <w:sz w:val="24"/>
      <w:szCs w:val="24"/>
      <w:lang w:eastAsia="en-US"/>
    </w:rPr>
  </w:style>
  <w:style w:type="character" w:customStyle="1" w:styleId="normaltextrun">
    <w:name w:val="normaltextrun"/>
    <w:basedOn w:val="Standaardalinea-lettertype"/>
    <w:rsid w:val="007C1B76"/>
  </w:style>
  <w:style w:type="character" w:customStyle="1" w:styleId="eop">
    <w:name w:val="eop"/>
    <w:basedOn w:val="Standaardalinea-lettertype"/>
    <w:rsid w:val="007C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5662">
      <w:bodyDiv w:val="1"/>
      <w:marLeft w:val="0"/>
      <w:marRight w:val="0"/>
      <w:marTop w:val="0"/>
      <w:marBottom w:val="0"/>
      <w:divBdr>
        <w:top w:val="none" w:sz="0" w:space="0" w:color="auto"/>
        <w:left w:val="none" w:sz="0" w:space="0" w:color="auto"/>
        <w:bottom w:val="none" w:sz="0" w:space="0" w:color="auto"/>
        <w:right w:val="none" w:sz="0" w:space="0" w:color="auto"/>
      </w:divBdr>
      <w:divsChild>
        <w:div w:id="338123696">
          <w:marLeft w:val="360"/>
          <w:marRight w:val="0"/>
          <w:marTop w:val="0"/>
          <w:marBottom w:val="0"/>
          <w:divBdr>
            <w:top w:val="none" w:sz="0" w:space="0" w:color="auto"/>
            <w:left w:val="none" w:sz="0" w:space="0" w:color="auto"/>
            <w:bottom w:val="none" w:sz="0" w:space="0" w:color="auto"/>
            <w:right w:val="none" w:sz="0" w:space="0" w:color="auto"/>
          </w:divBdr>
        </w:div>
        <w:div w:id="163670094">
          <w:marLeft w:val="360"/>
          <w:marRight w:val="0"/>
          <w:marTop w:val="0"/>
          <w:marBottom w:val="0"/>
          <w:divBdr>
            <w:top w:val="none" w:sz="0" w:space="0" w:color="auto"/>
            <w:left w:val="none" w:sz="0" w:space="0" w:color="auto"/>
            <w:bottom w:val="none" w:sz="0" w:space="0" w:color="auto"/>
            <w:right w:val="none" w:sz="0" w:space="0" w:color="auto"/>
          </w:divBdr>
        </w:div>
        <w:div w:id="1574849611">
          <w:marLeft w:val="360"/>
          <w:marRight w:val="0"/>
          <w:marTop w:val="0"/>
          <w:marBottom w:val="0"/>
          <w:divBdr>
            <w:top w:val="none" w:sz="0" w:space="0" w:color="auto"/>
            <w:left w:val="none" w:sz="0" w:space="0" w:color="auto"/>
            <w:bottom w:val="none" w:sz="0" w:space="0" w:color="auto"/>
            <w:right w:val="none" w:sz="0" w:space="0" w:color="auto"/>
          </w:divBdr>
        </w:div>
      </w:divsChild>
    </w:div>
    <w:div w:id="185288687">
      <w:bodyDiv w:val="1"/>
      <w:marLeft w:val="0"/>
      <w:marRight w:val="0"/>
      <w:marTop w:val="0"/>
      <w:marBottom w:val="0"/>
      <w:divBdr>
        <w:top w:val="none" w:sz="0" w:space="0" w:color="auto"/>
        <w:left w:val="none" w:sz="0" w:space="0" w:color="auto"/>
        <w:bottom w:val="none" w:sz="0" w:space="0" w:color="auto"/>
        <w:right w:val="none" w:sz="0" w:space="0" w:color="auto"/>
      </w:divBdr>
    </w:div>
    <w:div w:id="440342192">
      <w:bodyDiv w:val="1"/>
      <w:marLeft w:val="0"/>
      <w:marRight w:val="0"/>
      <w:marTop w:val="0"/>
      <w:marBottom w:val="0"/>
      <w:divBdr>
        <w:top w:val="none" w:sz="0" w:space="0" w:color="auto"/>
        <w:left w:val="none" w:sz="0" w:space="0" w:color="auto"/>
        <w:bottom w:val="none" w:sz="0" w:space="0" w:color="auto"/>
        <w:right w:val="none" w:sz="0" w:space="0" w:color="auto"/>
      </w:divBdr>
    </w:div>
    <w:div w:id="608049207">
      <w:bodyDiv w:val="1"/>
      <w:marLeft w:val="0"/>
      <w:marRight w:val="0"/>
      <w:marTop w:val="0"/>
      <w:marBottom w:val="0"/>
      <w:divBdr>
        <w:top w:val="none" w:sz="0" w:space="0" w:color="auto"/>
        <w:left w:val="none" w:sz="0" w:space="0" w:color="auto"/>
        <w:bottom w:val="none" w:sz="0" w:space="0" w:color="auto"/>
        <w:right w:val="none" w:sz="0" w:space="0" w:color="auto"/>
      </w:divBdr>
    </w:div>
    <w:div w:id="769786486">
      <w:bodyDiv w:val="1"/>
      <w:marLeft w:val="0"/>
      <w:marRight w:val="0"/>
      <w:marTop w:val="0"/>
      <w:marBottom w:val="0"/>
      <w:divBdr>
        <w:top w:val="none" w:sz="0" w:space="0" w:color="auto"/>
        <w:left w:val="none" w:sz="0" w:space="0" w:color="auto"/>
        <w:bottom w:val="none" w:sz="0" w:space="0" w:color="auto"/>
        <w:right w:val="none" w:sz="0" w:space="0" w:color="auto"/>
      </w:divBdr>
    </w:div>
    <w:div w:id="821702407">
      <w:bodyDiv w:val="1"/>
      <w:marLeft w:val="0"/>
      <w:marRight w:val="0"/>
      <w:marTop w:val="0"/>
      <w:marBottom w:val="0"/>
      <w:divBdr>
        <w:top w:val="none" w:sz="0" w:space="0" w:color="auto"/>
        <w:left w:val="none" w:sz="0" w:space="0" w:color="auto"/>
        <w:bottom w:val="none" w:sz="0" w:space="0" w:color="auto"/>
        <w:right w:val="none" w:sz="0" w:space="0" w:color="auto"/>
      </w:divBdr>
    </w:div>
    <w:div w:id="902375977">
      <w:bodyDiv w:val="1"/>
      <w:marLeft w:val="0"/>
      <w:marRight w:val="0"/>
      <w:marTop w:val="0"/>
      <w:marBottom w:val="0"/>
      <w:divBdr>
        <w:top w:val="none" w:sz="0" w:space="0" w:color="auto"/>
        <w:left w:val="none" w:sz="0" w:space="0" w:color="auto"/>
        <w:bottom w:val="none" w:sz="0" w:space="0" w:color="auto"/>
        <w:right w:val="none" w:sz="0" w:space="0" w:color="auto"/>
      </w:divBdr>
    </w:div>
    <w:div w:id="972099229">
      <w:bodyDiv w:val="1"/>
      <w:marLeft w:val="0"/>
      <w:marRight w:val="0"/>
      <w:marTop w:val="0"/>
      <w:marBottom w:val="0"/>
      <w:divBdr>
        <w:top w:val="none" w:sz="0" w:space="0" w:color="auto"/>
        <w:left w:val="none" w:sz="0" w:space="0" w:color="auto"/>
        <w:bottom w:val="none" w:sz="0" w:space="0" w:color="auto"/>
        <w:right w:val="none" w:sz="0" w:space="0" w:color="auto"/>
      </w:divBdr>
    </w:div>
    <w:div w:id="1164541615">
      <w:bodyDiv w:val="1"/>
      <w:marLeft w:val="0"/>
      <w:marRight w:val="0"/>
      <w:marTop w:val="0"/>
      <w:marBottom w:val="0"/>
      <w:divBdr>
        <w:top w:val="none" w:sz="0" w:space="0" w:color="auto"/>
        <w:left w:val="none" w:sz="0" w:space="0" w:color="auto"/>
        <w:bottom w:val="none" w:sz="0" w:space="0" w:color="auto"/>
        <w:right w:val="none" w:sz="0" w:space="0" w:color="auto"/>
      </w:divBdr>
    </w:div>
    <w:div w:id="1608005895">
      <w:bodyDiv w:val="1"/>
      <w:marLeft w:val="0"/>
      <w:marRight w:val="0"/>
      <w:marTop w:val="0"/>
      <w:marBottom w:val="0"/>
      <w:divBdr>
        <w:top w:val="none" w:sz="0" w:space="0" w:color="auto"/>
        <w:left w:val="none" w:sz="0" w:space="0" w:color="auto"/>
        <w:bottom w:val="none" w:sz="0" w:space="0" w:color="auto"/>
        <w:right w:val="none" w:sz="0" w:space="0" w:color="auto"/>
      </w:divBdr>
      <w:divsChild>
        <w:div w:id="428038735">
          <w:marLeft w:val="360"/>
          <w:marRight w:val="0"/>
          <w:marTop w:val="200"/>
          <w:marBottom w:val="0"/>
          <w:divBdr>
            <w:top w:val="none" w:sz="0" w:space="0" w:color="auto"/>
            <w:left w:val="none" w:sz="0" w:space="0" w:color="auto"/>
            <w:bottom w:val="none" w:sz="0" w:space="0" w:color="auto"/>
            <w:right w:val="none" w:sz="0" w:space="0" w:color="auto"/>
          </w:divBdr>
        </w:div>
        <w:div w:id="503135406">
          <w:marLeft w:val="1080"/>
          <w:marRight w:val="0"/>
          <w:marTop w:val="100"/>
          <w:marBottom w:val="0"/>
          <w:divBdr>
            <w:top w:val="none" w:sz="0" w:space="0" w:color="auto"/>
            <w:left w:val="none" w:sz="0" w:space="0" w:color="auto"/>
            <w:bottom w:val="none" w:sz="0" w:space="0" w:color="auto"/>
            <w:right w:val="none" w:sz="0" w:space="0" w:color="auto"/>
          </w:divBdr>
        </w:div>
        <w:div w:id="1490825977">
          <w:marLeft w:val="1800"/>
          <w:marRight w:val="0"/>
          <w:marTop w:val="100"/>
          <w:marBottom w:val="0"/>
          <w:divBdr>
            <w:top w:val="none" w:sz="0" w:space="0" w:color="auto"/>
            <w:left w:val="none" w:sz="0" w:space="0" w:color="auto"/>
            <w:bottom w:val="none" w:sz="0" w:space="0" w:color="auto"/>
            <w:right w:val="none" w:sz="0" w:space="0" w:color="auto"/>
          </w:divBdr>
        </w:div>
        <w:div w:id="667173697">
          <w:marLeft w:val="1080"/>
          <w:marRight w:val="0"/>
          <w:marTop w:val="100"/>
          <w:marBottom w:val="0"/>
          <w:divBdr>
            <w:top w:val="none" w:sz="0" w:space="0" w:color="auto"/>
            <w:left w:val="none" w:sz="0" w:space="0" w:color="auto"/>
            <w:bottom w:val="none" w:sz="0" w:space="0" w:color="auto"/>
            <w:right w:val="none" w:sz="0" w:space="0" w:color="auto"/>
          </w:divBdr>
        </w:div>
        <w:div w:id="141391571">
          <w:marLeft w:val="1800"/>
          <w:marRight w:val="0"/>
          <w:marTop w:val="100"/>
          <w:marBottom w:val="0"/>
          <w:divBdr>
            <w:top w:val="none" w:sz="0" w:space="0" w:color="auto"/>
            <w:left w:val="none" w:sz="0" w:space="0" w:color="auto"/>
            <w:bottom w:val="none" w:sz="0" w:space="0" w:color="auto"/>
            <w:right w:val="none" w:sz="0" w:space="0" w:color="auto"/>
          </w:divBdr>
        </w:div>
        <w:div w:id="2005234846">
          <w:marLeft w:val="1800"/>
          <w:marRight w:val="0"/>
          <w:marTop w:val="100"/>
          <w:marBottom w:val="0"/>
          <w:divBdr>
            <w:top w:val="none" w:sz="0" w:space="0" w:color="auto"/>
            <w:left w:val="none" w:sz="0" w:space="0" w:color="auto"/>
            <w:bottom w:val="none" w:sz="0" w:space="0" w:color="auto"/>
            <w:right w:val="none" w:sz="0" w:space="0" w:color="auto"/>
          </w:divBdr>
        </w:div>
        <w:div w:id="1359545450">
          <w:marLeft w:val="1800"/>
          <w:marRight w:val="0"/>
          <w:marTop w:val="100"/>
          <w:marBottom w:val="0"/>
          <w:divBdr>
            <w:top w:val="none" w:sz="0" w:space="0" w:color="auto"/>
            <w:left w:val="none" w:sz="0" w:space="0" w:color="auto"/>
            <w:bottom w:val="none" w:sz="0" w:space="0" w:color="auto"/>
            <w:right w:val="none" w:sz="0" w:space="0" w:color="auto"/>
          </w:divBdr>
        </w:div>
        <w:div w:id="10881926">
          <w:marLeft w:val="1800"/>
          <w:marRight w:val="0"/>
          <w:marTop w:val="100"/>
          <w:marBottom w:val="0"/>
          <w:divBdr>
            <w:top w:val="none" w:sz="0" w:space="0" w:color="auto"/>
            <w:left w:val="none" w:sz="0" w:space="0" w:color="auto"/>
            <w:bottom w:val="none" w:sz="0" w:space="0" w:color="auto"/>
            <w:right w:val="none" w:sz="0" w:space="0" w:color="auto"/>
          </w:divBdr>
        </w:div>
        <w:div w:id="1608585550">
          <w:marLeft w:val="1800"/>
          <w:marRight w:val="0"/>
          <w:marTop w:val="100"/>
          <w:marBottom w:val="0"/>
          <w:divBdr>
            <w:top w:val="none" w:sz="0" w:space="0" w:color="auto"/>
            <w:left w:val="none" w:sz="0" w:space="0" w:color="auto"/>
            <w:bottom w:val="none" w:sz="0" w:space="0" w:color="auto"/>
            <w:right w:val="none" w:sz="0" w:space="0" w:color="auto"/>
          </w:divBdr>
        </w:div>
      </w:divsChild>
    </w:div>
    <w:div w:id="1831673390">
      <w:bodyDiv w:val="1"/>
      <w:marLeft w:val="0"/>
      <w:marRight w:val="0"/>
      <w:marTop w:val="0"/>
      <w:marBottom w:val="0"/>
      <w:divBdr>
        <w:top w:val="none" w:sz="0" w:space="0" w:color="auto"/>
        <w:left w:val="none" w:sz="0" w:space="0" w:color="auto"/>
        <w:bottom w:val="none" w:sz="0" w:space="0" w:color="auto"/>
        <w:right w:val="none" w:sz="0" w:space="0" w:color="auto"/>
      </w:divBdr>
    </w:div>
    <w:div w:id="1943754494">
      <w:bodyDiv w:val="1"/>
      <w:marLeft w:val="0"/>
      <w:marRight w:val="0"/>
      <w:marTop w:val="0"/>
      <w:marBottom w:val="0"/>
      <w:divBdr>
        <w:top w:val="none" w:sz="0" w:space="0" w:color="auto"/>
        <w:left w:val="none" w:sz="0" w:space="0" w:color="auto"/>
        <w:bottom w:val="none" w:sz="0" w:space="0" w:color="auto"/>
        <w:right w:val="none" w:sz="0" w:space="0" w:color="auto"/>
      </w:divBdr>
    </w:div>
    <w:div w:id="1944603695">
      <w:bodyDiv w:val="1"/>
      <w:marLeft w:val="0"/>
      <w:marRight w:val="0"/>
      <w:marTop w:val="0"/>
      <w:marBottom w:val="0"/>
      <w:divBdr>
        <w:top w:val="none" w:sz="0" w:space="0" w:color="auto"/>
        <w:left w:val="none" w:sz="0" w:space="0" w:color="auto"/>
        <w:bottom w:val="none" w:sz="0" w:space="0" w:color="auto"/>
        <w:right w:val="none" w:sz="0" w:space="0" w:color="auto"/>
      </w:divBdr>
    </w:div>
    <w:div w:id="1980332159">
      <w:bodyDiv w:val="1"/>
      <w:marLeft w:val="0"/>
      <w:marRight w:val="0"/>
      <w:marTop w:val="0"/>
      <w:marBottom w:val="0"/>
      <w:divBdr>
        <w:top w:val="none" w:sz="0" w:space="0" w:color="auto"/>
        <w:left w:val="none" w:sz="0" w:space="0" w:color="auto"/>
        <w:bottom w:val="none" w:sz="0" w:space="0" w:color="auto"/>
        <w:right w:val="none" w:sz="0" w:space="0" w:color="auto"/>
      </w:divBdr>
      <w:divsChild>
        <w:div w:id="271400289">
          <w:marLeft w:val="360"/>
          <w:marRight w:val="0"/>
          <w:marTop w:val="0"/>
          <w:marBottom w:val="0"/>
          <w:divBdr>
            <w:top w:val="none" w:sz="0" w:space="0" w:color="auto"/>
            <w:left w:val="none" w:sz="0" w:space="0" w:color="auto"/>
            <w:bottom w:val="none" w:sz="0" w:space="0" w:color="auto"/>
            <w:right w:val="none" w:sz="0" w:space="0" w:color="auto"/>
          </w:divBdr>
        </w:div>
        <w:div w:id="1508906370">
          <w:marLeft w:val="360"/>
          <w:marRight w:val="0"/>
          <w:marTop w:val="0"/>
          <w:marBottom w:val="0"/>
          <w:divBdr>
            <w:top w:val="none" w:sz="0" w:space="0" w:color="auto"/>
            <w:left w:val="none" w:sz="0" w:space="0" w:color="auto"/>
            <w:bottom w:val="none" w:sz="0" w:space="0" w:color="auto"/>
            <w:right w:val="none" w:sz="0" w:space="0" w:color="auto"/>
          </w:divBdr>
        </w:div>
        <w:div w:id="1641575896">
          <w:marLeft w:val="360"/>
          <w:marRight w:val="0"/>
          <w:marTop w:val="0"/>
          <w:marBottom w:val="0"/>
          <w:divBdr>
            <w:top w:val="none" w:sz="0" w:space="0" w:color="auto"/>
            <w:left w:val="none" w:sz="0" w:space="0" w:color="auto"/>
            <w:bottom w:val="none" w:sz="0" w:space="0" w:color="auto"/>
            <w:right w:val="none" w:sz="0" w:space="0" w:color="auto"/>
          </w:divBdr>
        </w:div>
        <w:div w:id="896934751">
          <w:marLeft w:val="1080"/>
          <w:marRight w:val="0"/>
          <w:marTop w:val="0"/>
          <w:marBottom w:val="0"/>
          <w:divBdr>
            <w:top w:val="none" w:sz="0" w:space="0" w:color="auto"/>
            <w:left w:val="none" w:sz="0" w:space="0" w:color="auto"/>
            <w:bottom w:val="none" w:sz="0" w:space="0" w:color="auto"/>
            <w:right w:val="none" w:sz="0" w:space="0" w:color="auto"/>
          </w:divBdr>
        </w:div>
        <w:div w:id="1437747907">
          <w:marLeft w:val="1080"/>
          <w:marRight w:val="0"/>
          <w:marTop w:val="0"/>
          <w:marBottom w:val="0"/>
          <w:divBdr>
            <w:top w:val="none" w:sz="0" w:space="0" w:color="auto"/>
            <w:left w:val="none" w:sz="0" w:space="0" w:color="auto"/>
            <w:bottom w:val="none" w:sz="0" w:space="0" w:color="auto"/>
            <w:right w:val="none" w:sz="0" w:space="0" w:color="auto"/>
          </w:divBdr>
        </w:div>
        <w:div w:id="1250501359">
          <w:marLeft w:val="1080"/>
          <w:marRight w:val="0"/>
          <w:marTop w:val="0"/>
          <w:marBottom w:val="0"/>
          <w:divBdr>
            <w:top w:val="none" w:sz="0" w:space="0" w:color="auto"/>
            <w:left w:val="none" w:sz="0" w:space="0" w:color="auto"/>
            <w:bottom w:val="none" w:sz="0" w:space="0" w:color="auto"/>
            <w:right w:val="none" w:sz="0" w:space="0" w:color="auto"/>
          </w:divBdr>
        </w:div>
        <w:div w:id="1502162454">
          <w:marLeft w:val="1080"/>
          <w:marRight w:val="0"/>
          <w:marTop w:val="0"/>
          <w:marBottom w:val="0"/>
          <w:divBdr>
            <w:top w:val="none" w:sz="0" w:space="0" w:color="auto"/>
            <w:left w:val="none" w:sz="0" w:space="0" w:color="auto"/>
            <w:bottom w:val="none" w:sz="0" w:space="0" w:color="auto"/>
            <w:right w:val="none" w:sz="0" w:space="0" w:color="auto"/>
          </w:divBdr>
        </w:div>
        <w:div w:id="1021933144">
          <w:marLeft w:val="1080"/>
          <w:marRight w:val="0"/>
          <w:marTop w:val="0"/>
          <w:marBottom w:val="0"/>
          <w:divBdr>
            <w:top w:val="none" w:sz="0" w:space="0" w:color="auto"/>
            <w:left w:val="none" w:sz="0" w:space="0" w:color="auto"/>
            <w:bottom w:val="none" w:sz="0" w:space="0" w:color="auto"/>
            <w:right w:val="none" w:sz="0" w:space="0" w:color="auto"/>
          </w:divBdr>
        </w:div>
        <w:div w:id="2023165919">
          <w:marLeft w:val="1080"/>
          <w:marRight w:val="0"/>
          <w:marTop w:val="0"/>
          <w:marBottom w:val="0"/>
          <w:divBdr>
            <w:top w:val="none" w:sz="0" w:space="0" w:color="auto"/>
            <w:left w:val="none" w:sz="0" w:space="0" w:color="auto"/>
            <w:bottom w:val="none" w:sz="0" w:space="0" w:color="auto"/>
            <w:right w:val="none" w:sz="0" w:space="0" w:color="auto"/>
          </w:divBdr>
        </w:div>
      </w:divsChild>
    </w:div>
    <w:div w:id="205253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75FEC2776E47B5402C4C831A342E" ma:contentTypeVersion="3" ma:contentTypeDescription="Een nieuw document maken." ma:contentTypeScope="" ma:versionID="71df3ed1d9db0d5628135ca9d6dfff46">
  <xsd:schema xmlns:xsd="http://www.w3.org/2001/XMLSchema" xmlns:xs="http://www.w3.org/2001/XMLSchema" xmlns:p="http://schemas.microsoft.com/office/2006/metadata/properties" xmlns:ns2="c644711a-5dd3-409f-a7a5-cfca4e7d785a" targetNamespace="http://schemas.microsoft.com/office/2006/metadata/properties" ma:root="true" ma:fieldsID="87c15bca430f5b2e6088ebe133701209" ns2:_="">
    <xsd:import namespace="c644711a-5dd3-409f-a7a5-cfca4e7d78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4711a-5dd3-409f-a7a5-cfca4e7d785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12AF6-51F4-4E50-89B8-23A0ECFFC8D9}">
  <ds:schemaRefs>
    <ds:schemaRef ds:uri="http://schemas.openxmlformats.org/officeDocument/2006/bibliography"/>
  </ds:schemaRefs>
</ds:datastoreItem>
</file>

<file path=customXml/itemProps2.xml><?xml version="1.0" encoding="utf-8"?>
<ds:datastoreItem xmlns:ds="http://schemas.openxmlformats.org/officeDocument/2006/customXml" ds:itemID="{5FA7E344-5304-4164-9ABF-482B7CB587E1}">
  <ds:schemaRefs>
    <ds:schemaRef ds:uri="http://schemas.microsoft.com/sharepoint/v3/contenttype/forms"/>
  </ds:schemaRefs>
</ds:datastoreItem>
</file>

<file path=customXml/itemProps3.xml><?xml version="1.0" encoding="utf-8"?>
<ds:datastoreItem xmlns:ds="http://schemas.openxmlformats.org/officeDocument/2006/customXml" ds:itemID="{0B105C76-EBDE-4579-9DCE-AD6F925C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4711a-5dd3-409f-a7a5-cfca4e7d7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32669-6F33-4405-907F-1B782C286A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1544</Words>
  <Characters>8495</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Tromp, Jacqueline</dc:creator>
  <cp:keywords/>
  <dc:description/>
  <cp:lastModifiedBy>Ekelenburg, Evert van</cp:lastModifiedBy>
  <cp:revision>17</cp:revision>
  <cp:lastPrinted>2025-02-19T13:24:00Z</cp:lastPrinted>
  <dcterms:created xsi:type="dcterms:W3CDTF">2025-10-01T12:22:00Z</dcterms:created>
  <dcterms:modified xsi:type="dcterms:W3CDTF">2025-10-27T15:29:00Z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0x010100ECCC75FEC2776E47B5402C4C831A342E</vt:lpwstr>
  </property>
</Properties>
</file>